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4" Type="http://schemas.openxmlformats.org/officeDocument/2006/relationships/officeDocument" Target="word/document.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spacing w:line="360" w:lineRule="auto"/>
        <w:jc w:val="center"/>
        <w:rPr>
          <w:rFonts w:hint="eastAsia" w:ascii="黑体" w:hAnsi="黑体" w:eastAsia="黑体" w:cs="黑体"/>
          <w:b w:val="0"/>
          <w:bCs w:val="0"/>
          <w:sz w:val="44"/>
          <w:szCs w:val="44"/>
        </w:rPr>
      </w:pPr>
      <w:bookmarkStart w:id="0" w:name="_Toc485233429"/>
      <w:bookmarkStart w:id="1" w:name="_Toc5810067"/>
      <w:r>
        <w:rPr>
          <w:rFonts w:hint="eastAsia" w:ascii="黑体" w:hAnsi="黑体" w:eastAsia="黑体" w:cs="黑体"/>
          <w:b w:val="0"/>
          <w:bCs w:val="0"/>
          <w:sz w:val="44"/>
          <w:szCs w:val="44"/>
          <w:lang w:eastAsia="zh-CN"/>
        </w:rPr>
        <w:t>石家庄市中</w:t>
      </w:r>
      <w:r>
        <w:rPr>
          <w:rFonts w:hint="eastAsia" w:ascii="黑体" w:hAnsi="黑体" w:eastAsia="黑体" w:cs="黑体"/>
          <w:b w:val="0"/>
          <w:bCs w:val="0"/>
          <w:sz w:val="44"/>
          <w:szCs w:val="44"/>
        </w:rPr>
        <w:t>级人民法院</w:t>
      </w:r>
    </w:p>
    <w:p>
      <w:pPr>
        <w:spacing w:line="360" w:lineRule="auto"/>
        <w:jc w:val="center"/>
        <w:rPr>
          <w:rFonts w:hint="eastAsia" w:ascii="宋体" w:hAnsi="宋体"/>
          <w:b/>
          <w:bCs/>
          <w:sz w:val="44"/>
          <w:szCs w:val="44"/>
        </w:rPr>
      </w:pPr>
      <w:r>
        <w:rPr>
          <w:rFonts w:hint="eastAsia" w:ascii="黑体" w:hAnsi="黑体" w:eastAsia="黑体" w:cs="黑体"/>
          <w:b w:val="0"/>
          <w:bCs w:val="0"/>
          <w:sz w:val="44"/>
          <w:szCs w:val="44"/>
        </w:rPr>
        <w:t>绩效自评工作报告</w:t>
      </w:r>
      <w:bookmarkEnd w:id="0"/>
      <w:bookmarkEnd w:id="1"/>
    </w:p>
    <w:p>
      <w:pPr>
        <w:pStyle w:val="2"/>
        <w:spacing w:before="0" w:after="0" w:line="580" w:lineRule="exact"/>
        <w:ind w:firstLine="640" w:firstLineChars="200"/>
        <w:rPr>
          <w:rFonts w:ascii="黑体" w:hAnsi="黑体" w:eastAsia="黑体" w:cs="楷体_GB2312"/>
          <w:b w:val="0"/>
          <w:bCs/>
          <w:sz w:val="32"/>
          <w:szCs w:val="32"/>
        </w:rPr>
      </w:pPr>
      <w:bookmarkStart w:id="2" w:name="_Toc36820690"/>
      <w:bookmarkStart w:id="3" w:name="_Toc31480"/>
      <w:r>
        <w:rPr>
          <w:rFonts w:hint="eastAsia" w:ascii="黑体" w:hAnsi="黑体" w:eastAsia="黑体" w:cs="楷体_GB2312"/>
          <w:b w:val="0"/>
          <w:bCs/>
          <w:sz w:val="32"/>
          <w:szCs w:val="32"/>
        </w:rPr>
        <w:t>一、组织开展情况</w:t>
      </w:r>
    </w:p>
    <w:p>
      <w:pPr>
        <w:pStyle w:val="2"/>
        <w:spacing w:before="0" w:after="0" w:line="580" w:lineRule="exact"/>
        <w:ind w:firstLine="640" w:firstLineChars="200"/>
        <w:rPr>
          <w:rFonts w:ascii="楷体_GB2312" w:eastAsia="楷体_GB2312"/>
          <w:b w:val="0"/>
          <w:bCs/>
          <w:sz w:val="32"/>
          <w:szCs w:val="32"/>
        </w:rPr>
      </w:pPr>
      <w:r>
        <w:rPr>
          <w:rFonts w:hint="eastAsia" w:ascii="楷体_GB2312" w:eastAsia="楷体_GB2312"/>
          <w:b w:val="0"/>
          <w:bCs/>
          <w:sz w:val="32"/>
          <w:szCs w:val="32"/>
        </w:rPr>
        <w:t>（一）组织实施</w:t>
      </w:r>
      <w:bookmarkEnd w:id="2"/>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按照</w:t>
      </w:r>
      <w:r>
        <w:rPr>
          <w:rFonts w:hint="eastAsia" w:ascii="仿宋_GB2312" w:hAnsi="仿宋_GB2312" w:eastAsia="仿宋_GB2312" w:cs="仿宋_GB2312"/>
          <w:sz w:val="32"/>
          <w:szCs w:val="32"/>
          <w:lang w:eastAsia="zh-CN"/>
        </w:rPr>
        <w:t>石家庄市</w:t>
      </w:r>
      <w:r>
        <w:rPr>
          <w:rFonts w:hint="eastAsia" w:ascii="仿宋_GB2312" w:hAnsi="仿宋_GB2312" w:eastAsia="仿宋_GB2312" w:cs="仿宋_GB2312"/>
          <w:sz w:val="32"/>
          <w:szCs w:val="32"/>
        </w:rPr>
        <w:t>财政</w:t>
      </w:r>
      <w:r>
        <w:rPr>
          <w:rFonts w:hint="eastAsia" w:ascii="仿宋_GB2312" w:hAnsi="仿宋_GB2312" w:eastAsia="仿宋_GB2312" w:cs="仿宋_GB2312"/>
          <w:sz w:val="32"/>
          <w:szCs w:val="32"/>
          <w:lang w:eastAsia="zh-CN"/>
        </w:rPr>
        <w:t>局</w:t>
      </w:r>
      <w:r>
        <w:rPr>
          <w:rFonts w:hint="eastAsia" w:ascii="仿宋_GB2312" w:hAnsi="仿宋_GB2312" w:eastAsia="仿宋_GB2312" w:cs="仿宋_GB2312"/>
          <w:sz w:val="32"/>
          <w:szCs w:val="32"/>
        </w:rPr>
        <w:t>《关于</w:t>
      </w:r>
      <w:r>
        <w:rPr>
          <w:rFonts w:hint="eastAsia" w:ascii="仿宋_GB2312" w:hAnsi="仿宋_GB2312" w:eastAsia="仿宋_GB2312" w:cs="仿宋_GB2312"/>
          <w:sz w:val="32"/>
          <w:szCs w:val="32"/>
          <w:lang w:eastAsia="zh-CN"/>
        </w:rPr>
        <w:t>石家庄市市级部门项目绩效自评管理办法</w:t>
      </w:r>
      <w:r>
        <w:rPr>
          <w:rFonts w:hint="eastAsia" w:ascii="仿宋_GB2312" w:hAnsi="仿宋_GB2312" w:eastAsia="仿宋_GB2312" w:cs="仿宋_GB2312"/>
          <w:sz w:val="32"/>
          <w:szCs w:val="32"/>
        </w:rPr>
        <w:t>的通知》（</w:t>
      </w:r>
      <w:r>
        <w:rPr>
          <w:rFonts w:hint="eastAsia" w:ascii="仿宋_GB2312" w:hAnsi="仿宋_GB2312" w:eastAsia="仿宋_GB2312" w:cs="仿宋_GB2312"/>
          <w:sz w:val="32"/>
          <w:szCs w:val="32"/>
          <w:lang w:eastAsia="zh-CN"/>
        </w:rPr>
        <w:t>石</w:t>
      </w:r>
      <w:r>
        <w:rPr>
          <w:rFonts w:hint="eastAsia" w:ascii="仿宋_GB2312" w:hAnsi="仿宋_GB2312" w:eastAsia="仿宋_GB2312" w:cs="仿宋_GB2312"/>
          <w:sz w:val="32"/>
          <w:szCs w:val="32"/>
        </w:rPr>
        <w:t>财</w:t>
      </w:r>
      <w:r>
        <w:rPr>
          <w:rFonts w:hint="eastAsia" w:ascii="仿宋_GB2312" w:hAnsi="仿宋_GB2312" w:eastAsia="仿宋_GB2312" w:cs="仿宋_GB2312"/>
          <w:sz w:val="32"/>
          <w:szCs w:val="32"/>
          <w:lang w:eastAsia="zh-CN"/>
        </w:rPr>
        <w:t>绩</w:t>
      </w:r>
      <w:r>
        <w:rPr>
          <w:rFonts w:hint="eastAsia" w:ascii="仿宋_GB2312" w:hAnsi="仿宋_GB2312" w:eastAsia="仿宋_GB2312" w:cs="仿宋_GB2312"/>
          <w:sz w:val="32"/>
          <w:szCs w:val="32"/>
        </w:rPr>
        <w:t>〔2020〕</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号）的要求，</w:t>
      </w:r>
      <w:r>
        <w:rPr>
          <w:rFonts w:hint="eastAsia" w:ascii="仿宋_GB2312" w:hAnsi="仿宋_GB2312" w:eastAsia="仿宋_GB2312" w:cs="仿宋_GB2312"/>
          <w:sz w:val="32"/>
          <w:szCs w:val="32"/>
          <w:lang w:eastAsia="zh-CN"/>
        </w:rPr>
        <w:t>市</w:t>
      </w:r>
      <w:r>
        <w:rPr>
          <w:rFonts w:hint="eastAsia" w:ascii="仿宋_GB2312" w:hAnsi="仿宋_GB2312" w:eastAsia="仿宋_GB2312" w:cs="仿宋_GB2312"/>
          <w:sz w:val="32"/>
          <w:szCs w:val="32"/>
        </w:rPr>
        <w:t>法院成立了绩效评价小组，对2019年</w:t>
      </w:r>
      <w:r>
        <w:rPr>
          <w:rFonts w:hint="eastAsia" w:ascii="仿宋_GB2312" w:hAnsi="仿宋_GB2312" w:eastAsia="仿宋_GB2312" w:cs="仿宋_GB2312"/>
          <w:sz w:val="32"/>
          <w:szCs w:val="32"/>
          <w:lang w:eastAsia="zh-CN"/>
        </w:rPr>
        <w:t>市</w:t>
      </w:r>
      <w:r>
        <w:rPr>
          <w:rFonts w:hint="eastAsia" w:ascii="仿宋_GB2312" w:hAnsi="仿宋_GB2312" w:eastAsia="仿宋_GB2312" w:cs="仿宋_GB2312"/>
          <w:sz w:val="32"/>
          <w:szCs w:val="32"/>
        </w:rPr>
        <w:t>级预算项目进行了全面评价。</w:t>
      </w:r>
    </w:p>
    <w:p>
      <w:pPr>
        <w:pStyle w:val="26"/>
        <w:ind w:firstLine="643"/>
        <w:rPr>
          <w:rStyle w:val="50"/>
          <w:rFonts w:ascii="仿宋_GB2312" w:eastAsia="仿宋_GB2312"/>
          <w:color w:val="auto"/>
          <w:szCs w:val="32"/>
        </w:rPr>
      </w:pPr>
      <w:r>
        <w:rPr>
          <w:rStyle w:val="52"/>
          <w:rFonts w:hint="eastAsia" w:ascii="楷体_GB2312" w:eastAsia="楷体_GB2312"/>
          <w:b w:val="0"/>
          <w:bCs w:val="0"/>
          <w:color w:val="auto"/>
        </w:rPr>
        <w:t>（二）分析评价</w:t>
      </w:r>
      <w:r>
        <w:rPr>
          <w:rStyle w:val="52"/>
          <w:rFonts w:hint="eastAsia" w:ascii="仿宋_GB2312" w:eastAsia="仿宋_GB2312"/>
          <w:b w:val="0"/>
          <w:bCs w:val="0"/>
          <w:color w:val="auto"/>
        </w:rPr>
        <w:br/>
      </w:r>
      <w:r>
        <w:rPr>
          <w:rFonts w:hint="eastAsia" w:ascii="仿宋_GB2312" w:hAnsi="楷体" w:eastAsia="仿宋_GB2312"/>
          <w:bCs/>
          <w:color w:val="auto"/>
          <w:szCs w:val="32"/>
        </w:rPr>
        <w:t xml:space="preserve"> </w:t>
      </w:r>
      <w:r>
        <w:rPr>
          <w:rFonts w:ascii="仿宋_GB2312" w:hAnsi="楷体" w:eastAsia="仿宋_GB2312"/>
          <w:bCs/>
          <w:color w:val="auto"/>
          <w:szCs w:val="32"/>
        </w:rPr>
        <w:t xml:space="preserve">   </w:t>
      </w:r>
      <w:r>
        <w:rPr>
          <w:rStyle w:val="50"/>
          <w:rFonts w:hint="eastAsia" w:ascii="仿宋_GB2312" w:eastAsia="仿宋_GB2312"/>
          <w:color w:val="auto"/>
          <w:szCs w:val="32"/>
        </w:rPr>
        <w:t>（1）评价过程：根据相关文件规定，以项目申报预期绩效目标和工作要求作为评价标准，采取定量和定性评价相结合的方法，对项目资料进行审核、分析。</w:t>
      </w:r>
    </w:p>
    <w:p>
      <w:pPr>
        <w:spacing w:line="580" w:lineRule="exact"/>
        <w:ind w:firstLine="640" w:firstLineChars="200"/>
        <w:rPr>
          <w:rStyle w:val="50"/>
          <w:rFonts w:ascii="仿宋_GB2312" w:hAnsi="仿宋_GB2312" w:eastAsia="仿宋_GB2312" w:cs="仿宋_GB2312"/>
          <w:color w:val="auto"/>
          <w:szCs w:val="32"/>
        </w:rPr>
      </w:pPr>
      <w:r>
        <w:rPr>
          <w:rStyle w:val="50"/>
          <w:rFonts w:hint="eastAsia" w:ascii="仿宋_GB2312" w:eastAsia="仿宋_GB2312"/>
          <w:color w:val="auto"/>
          <w:szCs w:val="32"/>
        </w:rPr>
        <w:t>（2）评价中做到重点突出：在评价工作中，紧抓评价工作的</w:t>
      </w:r>
      <w:r>
        <w:rPr>
          <w:rStyle w:val="50"/>
          <w:rFonts w:hint="eastAsia" w:ascii="仿宋_GB2312" w:eastAsia="仿宋_GB2312"/>
          <w:color w:val="auto"/>
          <w:szCs w:val="32"/>
          <w:lang w:eastAsia="zh-CN"/>
        </w:rPr>
        <w:t>六</w:t>
      </w:r>
      <w:r>
        <w:rPr>
          <w:rStyle w:val="50"/>
          <w:rFonts w:hint="eastAsia" w:ascii="仿宋_GB2312" w:eastAsia="仿宋_GB2312"/>
          <w:color w:val="auto"/>
          <w:szCs w:val="32"/>
        </w:rPr>
        <w:t>个重点内容：预算执行情况、绩效目标完成情况、各项绩效指标完成情况</w:t>
      </w:r>
      <w:r>
        <w:rPr>
          <w:rStyle w:val="50"/>
          <w:rFonts w:hint="eastAsia" w:ascii="仿宋_GB2312" w:eastAsia="仿宋_GB2312"/>
          <w:color w:val="auto"/>
          <w:szCs w:val="32"/>
          <w:lang w:eastAsia="zh-CN"/>
        </w:rPr>
        <w:t>、</w:t>
      </w:r>
      <w:r>
        <w:rPr>
          <w:rStyle w:val="50"/>
          <w:rFonts w:hint="eastAsia" w:ascii="仿宋_GB2312" w:eastAsia="仿宋_GB2312"/>
          <w:color w:val="auto"/>
          <w:szCs w:val="32"/>
        </w:rPr>
        <w:t>各项绩效指标评价等级、</w:t>
      </w:r>
      <w:r>
        <w:rPr>
          <w:rStyle w:val="50"/>
          <w:rFonts w:hint="eastAsia" w:ascii="仿宋_GB2312" w:eastAsia="仿宋_GB2312"/>
          <w:color w:val="auto"/>
          <w:szCs w:val="32"/>
          <w:lang w:eastAsia="zh-CN"/>
        </w:rPr>
        <w:t>项目满意度、</w:t>
      </w:r>
      <w:r>
        <w:rPr>
          <w:rStyle w:val="50"/>
          <w:rFonts w:hint="eastAsia" w:ascii="仿宋_GB2312" w:eastAsia="仿宋_GB2312"/>
          <w:color w:val="auto"/>
          <w:szCs w:val="32"/>
        </w:rPr>
        <w:t>存在的问题及改进措施。严格按照相关文件和评价体系的要求，</w:t>
      </w:r>
      <w:r>
        <w:rPr>
          <w:rStyle w:val="50"/>
          <w:rFonts w:hint="eastAsia" w:ascii="仿宋_GB2312" w:eastAsia="仿宋_GB2312"/>
          <w:color w:val="auto"/>
          <w:szCs w:val="32"/>
          <w:lang w:eastAsia="zh-CN"/>
        </w:rPr>
        <w:t>全面收集，系统整理预算项目完成信息，并且</w:t>
      </w:r>
      <w:r>
        <w:rPr>
          <w:rStyle w:val="50"/>
          <w:rFonts w:hint="eastAsia" w:ascii="仿宋_GB2312" w:eastAsia="仿宋_GB2312"/>
          <w:color w:val="auto"/>
          <w:szCs w:val="32"/>
        </w:rPr>
        <w:t>实事求是、客观公正的进行绩效评价工作</w:t>
      </w:r>
      <w:r>
        <w:rPr>
          <w:rStyle w:val="50"/>
          <w:rFonts w:hint="eastAsia" w:ascii="仿宋_GB2312" w:eastAsia="仿宋_GB2312"/>
          <w:color w:val="auto"/>
          <w:szCs w:val="32"/>
          <w:lang w:eastAsia="zh-CN"/>
        </w:rPr>
        <w:t>。</w:t>
      </w:r>
      <w:r>
        <w:rPr>
          <w:rStyle w:val="50"/>
          <w:rFonts w:hint="eastAsia" w:ascii="仿宋_GB2312" w:eastAsia="仿宋_GB2312"/>
          <w:color w:val="auto"/>
          <w:szCs w:val="32"/>
        </w:rPr>
        <w:br/>
      </w:r>
      <w:r>
        <w:rPr>
          <w:rStyle w:val="50"/>
          <w:rFonts w:hint="eastAsia" w:ascii="仿宋_GB2312" w:eastAsia="仿宋_GB2312"/>
          <w:color w:val="auto"/>
          <w:szCs w:val="32"/>
        </w:rPr>
        <w:t xml:space="preserve">    （3）客观分析：首先根据评价项目的实际情况与指标体系进行分析、比对，评判实际达到的绩效目标给出适当得分，并充分考虑以下几方面：预算资金是否按进度执行、项目是否按</w:t>
      </w:r>
      <w:r>
        <w:rPr>
          <w:rStyle w:val="50"/>
          <w:rFonts w:hint="eastAsia" w:ascii="仿宋_GB2312" w:eastAsia="仿宋_GB2312"/>
          <w:color w:val="auto"/>
          <w:szCs w:val="32"/>
          <w:lang w:eastAsia="zh-CN"/>
        </w:rPr>
        <w:t>计划</w:t>
      </w:r>
      <w:r>
        <w:rPr>
          <w:rStyle w:val="50"/>
          <w:rFonts w:hint="eastAsia" w:ascii="仿宋_GB2312" w:eastAsia="仿宋_GB2312"/>
          <w:color w:val="auto"/>
          <w:szCs w:val="32"/>
        </w:rPr>
        <w:t>落实推进</w:t>
      </w:r>
      <w:r>
        <w:rPr>
          <w:rStyle w:val="50"/>
          <w:rFonts w:hint="eastAsia" w:ascii="仿宋_GB2312" w:eastAsia="仿宋_GB2312"/>
          <w:color w:val="auto"/>
          <w:szCs w:val="32"/>
          <w:lang w:eastAsia="zh-CN"/>
        </w:rPr>
        <w:t>、</w:t>
      </w:r>
      <w:r>
        <w:rPr>
          <w:rStyle w:val="50"/>
          <w:rFonts w:hint="eastAsia" w:ascii="仿宋_GB2312" w:eastAsia="仿宋_GB2312"/>
          <w:color w:val="auto"/>
          <w:szCs w:val="32"/>
        </w:rPr>
        <w:t>是否达到预定目标效果</w:t>
      </w:r>
      <w:r>
        <w:rPr>
          <w:rStyle w:val="50"/>
          <w:rFonts w:hint="eastAsia" w:ascii="仿宋_GB2312" w:eastAsia="仿宋_GB2312"/>
          <w:color w:val="auto"/>
          <w:szCs w:val="32"/>
          <w:lang w:eastAsia="zh-CN"/>
        </w:rPr>
        <w:t>、项目满意度</w:t>
      </w:r>
      <w:r>
        <w:rPr>
          <w:rStyle w:val="50"/>
          <w:rFonts w:hint="eastAsia" w:ascii="仿宋_GB2312" w:eastAsia="仿宋_GB2312"/>
          <w:color w:val="auto"/>
          <w:szCs w:val="32"/>
        </w:rPr>
        <w:t>等。根据单项指标实际完成情况</w:t>
      </w:r>
      <w:r>
        <w:rPr>
          <w:rStyle w:val="50"/>
          <w:rFonts w:hint="eastAsia" w:ascii="仿宋_GB2312" w:eastAsia="仿宋_GB2312"/>
          <w:color w:val="auto"/>
          <w:szCs w:val="32"/>
          <w:lang w:eastAsia="zh-CN"/>
        </w:rPr>
        <w:t>相应赋予分值</w:t>
      </w:r>
      <w:r>
        <w:rPr>
          <w:rStyle w:val="50"/>
          <w:rFonts w:hint="eastAsia" w:ascii="仿宋_GB2312" w:eastAsia="仿宋_GB2312"/>
          <w:color w:val="auto"/>
          <w:szCs w:val="32"/>
        </w:rPr>
        <w:t>。</w:t>
      </w:r>
      <w:r>
        <w:rPr>
          <w:rStyle w:val="50"/>
          <w:rFonts w:hint="eastAsia" w:ascii="仿宋_GB2312" w:eastAsia="仿宋_GB2312"/>
          <w:color w:val="auto"/>
          <w:szCs w:val="32"/>
          <w:lang w:eastAsia="zh-CN"/>
        </w:rPr>
        <w:t>逐项评定每项指标得分，汇总形成单个项目绩效自评得分。</w:t>
      </w:r>
    </w:p>
    <w:p>
      <w:pPr>
        <w:pStyle w:val="28"/>
        <w:rPr>
          <w:rFonts w:ascii="楷体_GB2312" w:eastAsia="楷体_GB2312"/>
          <w:b w:val="0"/>
          <w:bCs w:val="0"/>
          <w:color w:val="auto"/>
        </w:rPr>
      </w:pPr>
      <w:r>
        <w:rPr>
          <w:rFonts w:hint="eastAsia" w:ascii="楷体_GB2312" w:eastAsia="楷体_GB2312"/>
          <w:b w:val="0"/>
          <w:bCs w:val="0"/>
          <w:color w:val="auto"/>
        </w:rPr>
        <w:t>（三）绩效评价方法</w:t>
      </w:r>
    </w:p>
    <w:p>
      <w:pPr>
        <w:spacing w:line="580" w:lineRule="exact"/>
        <w:ind w:firstLine="640" w:firstLineChars="200"/>
        <w:rPr>
          <w:rStyle w:val="50"/>
          <w:rFonts w:hint="eastAsia" w:ascii="仿宋_GB2312" w:eastAsia="仿宋_GB2312"/>
          <w:color w:val="auto"/>
          <w:szCs w:val="32"/>
        </w:rPr>
      </w:pPr>
      <w:r>
        <w:rPr>
          <w:rStyle w:val="50"/>
          <w:rFonts w:hint="eastAsia" w:ascii="仿宋_GB2312" w:eastAsia="仿宋_GB2312"/>
          <w:color w:val="auto"/>
          <w:szCs w:val="32"/>
        </w:rPr>
        <w:t>按照科学、规范、公平、公正原则，项目绩效评价采用定量分析和定性分析相结合的方法。定量指标依据二级指标的实际水平，对照评分标准，分别计算各指标得分。定性指标由绩效评价工作小组根据二级指标考核情况按照评分标准打分。</w:t>
      </w:r>
      <w:bookmarkEnd w:id="3"/>
      <w:bookmarkStart w:id="4" w:name="_Toc26697"/>
      <w:bookmarkStart w:id="5" w:name="_Toc36820692"/>
    </w:p>
    <w:p>
      <w:pPr>
        <w:pStyle w:val="2"/>
        <w:spacing w:before="0" w:after="0" w:line="580" w:lineRule="exact"/>
        <w:ind w:firstLine="640" w:firstLineChars="200"/>
        <w:rPr>
          <w:rFonts w:ascii="黑体" w:hAnsi="黑体" w:eastAsia="黑体" w:cs="楷体_GB2312"/>
          <w:b w:val="0"/>
          <w:bCs/>
          <w:sz w:val="32"/>
          <w:szCs w:val="32"/>
        </w:rPr>
      </w:pPr>
      <w:r>
        <w:rPr>
          <w:rFonts w:hint="eastAsia" w:ascii="黑体" w:hAnsi="黑体" w:eastAsia="黑体" w:cs="楷体_GB2312"/>
          <w:b w:val="0"/>
          <w:bCs/>
          <w:sz w:val="32"/>
          <w:szCs w:val="32"/>
        </w:rPr>
        <w:t>二、评价等级和结论</w:t>
      </w:r>
    </w:p>
    <w:p>
      <w:pPr>
        <w:pStyle w:val="3"/>
        <w:spacing w:before="0" w:after="0" w:line="580" w:lineRule="exact"/>
        <w:ind w:firstLine="640" w:firstLineChars="200"/>
        <w:rPr>
          <w:rFonts w:ascii="仿宋_GB2312" w:hAnsi="楷体_GB2312" w:eastAsia="仿宋_GB2312" w:cs="楷体_GB2312"/>
          <w:b w:val="0"/>
          <w:bCs/>
          <w:color w:val="auto"/>
          <w:szCs w:val="32"/>
        </w:rPr>
      </w:pPr>
      <w:r>
        <w:rPr>
          <w:rFonts w:hint="eastAsia" w:ascii="仿宋_GB2312" w:hAnsi="楷体_GB2312" w:eastAsia="仿宋_GB2312" w:cs="楷体_GB2312"/>
          <w:b w:val="0"/>
          <w:bCs/>
          <w:szCs w:val="32"/>
        </w:rPr>
        <w:t>本次纳入绩效评价的</w:t>
      </w:r>
      <w:r>
        <w:rPr>
          <w:rFonts w:hint="eastAsia" w:ascii="仿宋_GB2312" w:hAnsi="楷体_GB2312" w:eastAsia="仿宋_GB2312" w:cs="楷体_GB2312"/>
          <w:b w:val="0"/>
          <w:bCs/>
          <w:szCs w:val="32"/>
          <w:lang w:eastAsia="zh-CN"/>
        </w:rPr>
        <w:t>市</w:t>
      </w:r>
      <w:r>
        <w:rPr>
          <w:rFonts w:hint="eastAsia" w:ascii="仿宋_GB2312" w:hAnsi="楷体_GB2312" w:eastAsia="仿宋_GB2312" w:cs="楷体_GB2312"/>
          <w:b w:val="0"/>
          <w:bCs/>
          <w:szCs w:val="32"/>
        </w:rPr>
        <w:t>级预算项目共</w:t>
      </w:r>
      <w:r>
        <w:rPr>
          <w:rFonts w:hint="eastAsia" w:ascii="仿宋_GB2312" w:hAnsi="楷体_GB2312" w:eastAsia="仿宋_GB2312" w:cs="楷体_GB2312"/>
          <w:b w:val="0"/>
          <w:bCs/>
          <w:szCs w:val="32"/>
          <w:u w:val="none"/>
          <w:lang w:val="en-US" w:eastAsia="zh-CN"/>
        </w:rPr>
        <w:t>23</w:t>
      </w:r>
      <w:r>
        <w:rPr>
          <w:rFonts w:hint="eastAsia" w:ascii="仿宋_GB2312" w:hAnsi="楷体_GB2312" w:eastAsia="仿宋_GB2312" w:cs="楷体_GB2312"/>
          <w:b w:val="0"/>
          <w:bCs/>
          <w:szCs w:val="32"/>
        </w:rPr>
        <w:t>个，涉及预算资金</w:t>
      </w:r>
      <w:r>
        <w:rPr>
          <w:rFonts w:hint="eastAsia" w:ascii="仿宋_GB2312" w:hAnsi="仿宋_GB2312" w:eastAsia="仿宋_GB2312" w:cs="仿宋_GB2312"/>
          <w:b w:val="0"/>
          <w:bCs/>
          <w:sz w:val="32"/>
          <w:szCs w:val="32"/>
          <w:lang w:val="en-US" w:eastAsia="zh-CN"/>
        </w:rPr>
        <w:t>5586.27</w:t>
      </w:r>
      <w:r>
        <w:rPr>
          <w:rFonts w:hint="eastAsia" w:ascii="仿宋_GB2312" w:hAnsi="楷体_GB2312" w:eastAsia="仿宋_GB2312" w:cs="楷体_GB2312"/>
          <w:b w:val="0"/>
          <w:bCs/>
          <w:szCs w:val="32"/>
        </w:rPr>
        <w:t>万元。各项目绩效目标、一级绩效指标（产出指标、效果指标）、二级绩效指标及评价标准是</w:t>
      </w:r>
      <w:r>
        <w:rPr>
          <w:rFonts w:hint="eastAsia" w:ascii="仿宋_GB2312" w:hAnsi="楷体_GB2312" w:eastAsia="仿宋_GB2312" w:cs="楷体_GB2312"/>
          <w:b w:val="0"/>
          <w:bCs/>
          <w:color w:val="auto"/>
          <w:szCs w:val="32"/>
        </w:rPr>
        <w:t>从项目库中提取，由相关处室在项目预算编制时制定的，并在此基础上结合法院部门工作活动的特点和实际情况，对原绩效评价指标进行细化和完善，形成了</w:t>
      </w:r>
      <w:r>
        <w:rPr>
          <w:rFonts w:hint="eastAsia" w:ascii="仿宋_GB2312" w:hAnsi="楷体_GB2312" w:eastAsia="仿宋_GB2312" w:cs="楷体_GB2312"/>
          <w:b w:val="0"/>
          <w:bCs/>
          <w:color w:val="auto"/>
          <w:szCs w:val="32"/>
          <w:lang w:eastAsia="zh-CN"/>
        </w:rPr>
        <w:t>市</w:t>
      </w:r>
      <w:r>
        <w:rPr>
          <w:rFonts w:hint="eastAsia" w:ascii="仿宋_GB2312" w:hAnsi="楷体_GB2312" w:eastAsia="仿宋_GB2312" w:cs="楷体_GB2312"/>
          <w:b w:val="0"/>
          <w:bCs/>
          <w:color w:val="auto"/>
          <w:szCs w:val="32"/>
        </w:rPr>
        <w:t>法院2019年度预算项目绩效自评表。</w:t>
      </w:r>
    </w:p>
    <w:p>
      <w:pPr>
        <w:pStyle w:val="3"/>
        <w:spacing w:before="0" w:after="0" w:line="580" w:lineRule="exact"/>
        <w:ind w:left="420" w:leftChars="200"/>
        <w:jc w:val="left"/>
        <w:rPr>
          <w:rFonts w:ascii="仿宋_GB2312" w:hAnsi="仿宋_GB2312" w:eastAsia="仿宋_GB2312" w:cs="仿宋_GB2312"/>
          <w:b w:val="0"/>
          <w:bCs/>
          <w:szCs w:val="32"/>
        </w:rPr>
      </w:pPr>
      <w:r>
        <w:rPr>
          <w:rFonts w:hint="eastAsia" w:ascii="楷体_GB2312" w:hAnsi="楷体_GB2312" w:eastAsia="楷体_GB2312" w:cs="楷体_GB2312"/>
          <w:b w:val="0"/>
          <w:bCs/>
          <w:szCs w:val="32"/>
        </w:rPr>
        <w:t>（一）</w:t>
      </w:r>
      <w:bookmarkEnd w:id="4"/>
      <w:r>
        <w:rPr>
          <w:rFonts w:hint="eastAsia" w:ascii="楷体_GB2312" w:hAnsi="楷体_GB2312" w:eastAsia="楷体_GB2312" w:cs="楷体_GB2312"/>
          <w:b w:val="0"/>
          <w:bCs/>
          <w:szCs w:val="32"/>
        </w:rPr>
        <w:t>按项目数量平均得分及评价等级</w:t>
      </w:r>
      <w:bookmarkEnd w:id="5"/>
    </w:p>
    <w:p>
      <w:pPr>
        <w:spacing w:line="58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将各项目得分总计除以项目数量计算出2019年</w:t>
      </w:r>
      <w:r>
        <w:rPr>
          <w:rFonts w:hint="eastAsia" w:ascii="仿宋_GB2312" w:hAnsi="仿宋_GB2312" w:eastAsia="仿宋_GB2312" w:cs="仿宋_GB2312"/>
          <w:sz w:val="32"/>
          <w:szCs w:val="32"/>
          <w:lang w:eastAsia="zh-CN"/>
        </w:rPr>
        <w:t>市</w:t>
      </w:r>
      <w:r>
        <w:rPr>
          <w:rFonts w:hint="eastAsia" w:ascii="仿宋_GB2312" w:hAnsi="仿宋_GB2312" w:eastAsia="仿宋_GB2312" w:cs="仿宋_GB2312"/>
          <w:sz w:val="32"/>
          <w:szCs w:val="32"/>
        </w:rPr>
        <w:t>级预算项目绩效评价综合得分为</w:t>
      </w:r>
      <w:r>
        <w:rPr>
          <w:rFonts w:hint="eastAsia" w:ascii="仿宋_GB2312" w:hAnsi="仿宋_GB2312" w:eastAsia="仿宋_GB2312" w:cs="仿宋_GB2312"/>
          <w:sz w:val="32"/>
          <w:szCs w:val="32"/>
          <w:lang w:val="en-US" w:eastAsia="zh-CN"/>
        </w:rPr>
        <w:t>88.08</w:t>
      </w:r>
      <w:r>
        <w:rPr>
          <w:rFonts w:hint="eastAsia" w:ascii="仿宋_GB2312" w:hAnsi="仿宋_GB2312" w:eastAsia="仿宋_GB2312" w:cs="仿宋_GB2312"/>
          <w:sz w:val="32"/>
          <w:szCs w:val="32"/>
        </w:rPr>
        <w:t>分，评价等级为“</w:t>
      </w:r>
      <w:r>
        <w:rPr>
          <w:rFonts w:hint="eastAsia" w:ascii="仿宋_GB2312" w:hAnsi="仿宋_GB2312" w:eastAsia="仿宋_GB2312" w:cs="仿宋_GB2312"/>
          <w:sz w:val="32"/>
          <w:szCs w:val="32"/>
          <w:lang w:eastAsia="zh-CN"/>
        </w:rPr>
        <w:t>良</w:t>
      </w:r>
      <w:r>
        <w:rPr>
          <w:rFonts w:hint="eastAsia" w:ascii="仿宋_GB2312" w:hAnsi="仿宋_GB2312" w:eastAsia="仿宋_GB2312" w:cs="仿宋_GB2312"/>
          <w:sz w:val="32"/>
          <w:szCs w:val="32"/>
        </w:rPr>
        <w:t>”。</w:t>
      </w:r>
    </w:p>
    <w:p>
      <w:pPr>
        <w:pStyle w:val="3"/>
        <w:spacing w:before="0" w:after="0" w:line="580" w:lineRule="exact"/>
        <w:ind w:left="420" w:leftChars="200"/>
        <w:jc w:val="left"/>
        <w:rPr>
          <w:rFonts w:ascii="楷体_GB2312" w:hAnsi="仿宋_GB2312" w:eastAsia="楷体_GB2312" w:cs="仿宋_GB2312"/>
          <w:b w:val="0"/>
          <w:bCs/>
          <w:szCs w:val="32"/>
        </w:rPr>
      </w:pPr>
      <w:bookmarkStart w:id="6" w:name="_Toc36820693"/>
      <w:r>
        <w:rPr>
          <w:rFonts w:hint="eastAsia" w:ascii="楷体_GB2312" w:hAnsi="仿宋_GB2312" w:eastAsia="楷体_GB2312" w:cs="仿宋_GB2312"/>
          <w:b w:val="0"/>
          <w:bCs/>
          <w:szCs w:val="32"/>
        </w:rPr>
        <w:t>（二）项目资金情况</w:t>
      </w:r>
      <w:bookmarkEnd w:id="6"/>
    </w:p>
    <w:p>
      <w:pPr>
        <w:spacing w:line="580" w:lineRule="exact"/>
        <w:ind w:firstLine="640" w:firstLineChars="200"/>
        <w:rPr>
          <w:rFonts w:hint="default" w:ascii="仿宋" w:hAnsi="仿宋" w:eastAsia="仿宋"/>
          <w:color w:val="FF0000"/>
          <w:sz w:val="32"/>
          <w:szCs w:val="32"/>
          <w:u w:val="none"/>
          <w:lang w:val="en-US" w:eastAsia="zh-CN"/>
        </w:rPr>
      </w:pPr>
      <w:r>
        <w:rPr>
          <w:rFonts w:hint="eastAsia" w:ascii="仿宋_GB2312" w:hAnsi="仿宋_GB2312" w:eastAsia="仿宋_GB2312" w:cs="仿宋_GB2312"/>
          <w:sz w:val="32"/>
          <w:szCs w:val="32"/>
        </w:rPr>
        <w:t>预算资金到位</w:t>
      </w:r>
      <w:r>
        <w:rPr>
          <w:rFonts w:hint="eastAsia" w:ascii="仿宋_GB2312" w:hAnsi="仿宋_GB2312" w:eastAsia="仿宋_GB2312" w:cs="仿宋_GB2312"/>
          <w:sz w:val="32"/>
          <w:szCs w:val="32"/>
          <w:lang w:val="en-US" w:eastAsia="zh-CN"/>
        </w:rPr>
        <w:t>5586.27</w:t>
      </w:r>
      <w:r>
        <w:rPr>
          <w:rFonts w:hint="eastAsia" w:ascii="仿宋_GB2312" w:hAnsi="仿宋_GB2312" w:eastAsia="仿宋_GB2312" w:cs="仿宋_GB2312"/>
          <w:sz w:val="32"/>
          <w:szCs w:val="32"/>
        </w:rPr>
        <w:t>万元，执行资金</w:t>
      </w:r>
      <w:r>
        <w:rPr>
          <w:rFonts w:hint="eastAsia" w:ascii="仿宋_GB2312" w:hAnsi="仿宋_GB2312" w:eastAsia="仿宋_GB2312" w:cs="仿宋_GB2312"/>
          <w:sz w:val="32"/>
          <w:szCs w:val="32"/>
          <w:lang w:val="en-US" w:eastAsia="zh-CN"/>
        </w:rPr>
        <w:t>5053.99</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资金执行率</w:t>
      </w:r>
      <w:r>
        <w:rPr>
          <w:rFonts w:hint="eastAsia" w:ascii="仿宋_GB2312" w:hAnsi="仿宋_GB2312" w:eastAsia="仿宋_GB2312" w:cs="仿宋_GB2312"/>
          <w:sz w:val="32"/>
          <w:szCs w:val="32"/>
          <w:lang w:val="en-US" w:eastAsia="zh-CN"/>
        </w:rPr>
        <w:t>90.47%。</w:t>
      </w:r>
      <w:r>
        <w:rPr>
          <w:rFonts w:ascii="仿宋" w:hAnsi="仿宋" w:eastAsia="仿宋"/>
          <w:sz w:val="32"/>
          <w:szCs w:val="32"/>
        </w:rPr>
        <w:t xml:space="preserve"> </w:t>
      </w:r>
    </w:p>
    <w:p>
      <w:pPr>
        <w:pStyle w:val="3"/>
        <w:spacing w:before="0" w:after="0" w:line="580" w:lineRule="exact"/>
        <w:ind w:firstLine="640" w:firstLineChars="200"/>
        <w:rPr>
          <w:rFonts w:ascii="楷体_GB2312" w:hAnsi="仿宋_GB2312" w:eastAsia="楷体_GB2312" w:cs="仿宋_GB2312"/>
          <w:b w:val="0"/>
          <w:bCs/>
          <w:szCs w:val="32"/>
        </w:rPr>
      </w:pPr>
      <w:bookmarkStart w:id="7" w:name="_Toc36820694"/>
      <w:r>
        <w:rPr>
          <w:rFonts w:hint="eastAsia" w:ascii="楷体_GB2312" w:hAnsi="仿宋_GB2312" w:eastAsia="楷体_GB2312" w:cs="仿宋_GB2312"/>
          <w:b w:val="0"/>
          <w:bCs/>
          <w:szCs w:val="32"/>
        </w:rPr>
        <w:t>（三）绩效</w:t>
      </w:r>
      <w:r>
        <w:rPr>
          <w:rFonts w:hint="eastAsia" w:ascii="楷体_GB2312" w:hAnsi="仿宋_GB2312" w:eastAsia="楷体_GB2312" w:cs="仿宋_GB2312"/>
          <w:b w:val="0"/>
          <w:bCs/>
          <w:szCs w:val="32"/>
          <w:lang w:eastAsia="zh-CN"/>
        </w:rPr>
        <w:t>指标</w:t>
      </w:r>
      <w:r>
        <w:rPr>
          <w:rFonts w:hint="eastAsia" w:ascii="楷体_GB2312" w:hAnsi="仿宋_GB2312" w:eastAsia="楷体_GB2312" w:cs="仿宋_GB2312"/>
          <w:b w:val="0"/>
          <w:bCs/>
          <w:szCs w:val="32"/>
        </w:rPr>
        <w:t>情况</w:t>
      </w:r>
      <w:bookmarkEnd w:id="7"/>
    </w:p>
    <w:p>
      <w:pPr>
        <w:spacing w:line="580" w:lineRule="exact"/>
        <w:rPr>
          <w:rFonts w:hint="eastAsia" w:ascii="仿宋_GB2312" w:hAnsi="仿宋_GB2312" w:eastAsia="仿宋_GB2312" w:cs="仿宋_GB2312"/>
          <w:sz w:val="32"/>
          <w:szCs w:val="32"/>
        </w:rPr>
      </w:pPr>
      <w:r>
        <w:rPr>
          <w:rFonts w:hint="eastAsia" w:ascii="仿宋_GB2312" w:hAnsi="仿宋_GB2312" w:eastAsia="仿宋_GB2312" w:cs="仿宋_GB2312"/>
          <w:b/>
          <w:bCs/>
          <w:sz w:val="24"/>
        </w:rPr>
        <w:t xml:space="preserve">     </w:t>
      </w:r>
      <w:r>
        <w:rPr>
          <w:rFonts w:hint="eastAsia" w:ascii="仿宋_GB2312" w:hAnsi="仿宋_GB2312" w:eastAsia="仿宋_GB2312" w:cs="仿宋_GB2312"/>
          <w:sz w:val="32"/>
          <w:szCs w:val="32"/>
        </w:rPr>
        <w:t>本次绩效评价项目共</w:t>
      </w:r>
      <w:r>
        <w:rPr>
          <w:rFonts w:hint="eastAsia" w:ascii="仿宋_GB2312" w:hAnsi="仿宋_GB2312" w:eastAsia="仿宋_GB2312" w:cs="仿宋_GB2312"/>
          <w:sz w:val="32"/>
          <w:szCs w:val="32"/>
          <w:lang w:val="en-US" w:eastAsia="zh-CN"/>
        </w:rPr>
        <w:t>23</w:t>
      </w:r>
      <w:r>
        <w:rPr>
          <w:rFonts w:hint="eastAsia" w:ascii="仿宋_GB2312" w:hAnsi="仿宋_GB2312" w:eastAsia="仿宋_GB2312" w:cs="仿宋_GB2312"/>
          <w:sz w:val="32"/>
          <w:szCs w:val="32"/>
        </w:rPr>
        <w:t>项</w:t>
      </w:r>
      <w:bookmarkStart w:id="8" w:name="_Toc14119"/>
      <w:bookmarkStart w:id="9" w:name="_Toc17945"/>
      <w:bookmarkStart w:id="10" w:name="_Toc10263"/>
      <w:bookmarkStart w:id="11" w:name="_Toc16220"/>
      <w:bookmarkStart w:id="12" w:name="_Toc7187555"/>
      <w:bookmarkStart w:id="13" w:name="_Toc19884"/>
      <w:bookmarkStart w:id="14" w:name="_Toc23536"/>
      <w:bookmarkStart w:id="15" w:name="_Toc7187556"/>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评价涉及产出指标共</w:t>
      </w:r>
      <w:r>
        <w:rPr>
          <w:rFonts w:hint="eastAsia" w:ascii="仿宋_GB2312" w:hAnsi="仿宋_GB2312" w:eastAsia="仿宋_GB2312" w:cs="仿宋_GB2312"/>
          <w:sz w:val="32"/>
          <w:szCs w:val="32"/>
          <w:lang w:val="en-US" w:eastAsia="zh-CN"/>
        </w:rPr>
        <w:t>77</w:t>
      </w:r>
      <w:r>
        <w:rPr>
          <w:rFonts w:hint="eastAsia" w:ascii="仿宋_GB2312" w:hAnsi="仿宋_GB2312" w:eastAsia="仿宋_GB2312" w:cs="仿宋_GB2312"/>
          <w:sz w:val="32"/>
          <w:szCs w:val="32"/>
        </w:rPr>
        <w:t>个，效果指标共</w:t>
      </w:r>
      <w:r>
        <w:rPr>
          <w:rFonts w:hint="eastAsia" w:ascii="仿宋_GB2312" w:hAnsi="仿宋_GB2312" w:eastAsia="仿宋_GB2312" w:cs="仿宋_GB2312"/>
          <w:sz w:val="32"/>
          <w:szCs w:val="32"/>
          <w:lang w:val="en-US" w:eastAsia="zh-CN"/>
        </w:rPr>
        <w:t>69个，满意度指标23个。</w:t>
      </w:r>
      <w:r>
        <w:rPr>
          <w:rFonts w:hint="eastAsia" w:ascii="仿宋_GB2312" w:hAnsi="仿宋_GB2312" w:eastAsia="仿宋_GB2312" w:cs="仿宋_GB2312"/>
          <w:sz w:val="32"/>
          <w:szCs w:val="32"/>
        </w:rPr>
        <w:t>（详见附件：2019年度预算项目绩效自评表）</w:t>
      </w:r>
    </w:p>
    <w:bookmarkEnd w:id="8"/>
    <w:bookmarkEnd w:id="9"/>
    <w:bookmarkEnd w:id="10"/>
    <w:bookmarkEnd w:id="11"/>
    <w:bookmarkEnd w:id="12"/>
    <w:bookmarkEnd w:id="13"/>
    <w:bookmarkEnd w:id="14"/>
    <w:bookmarkEnd w:id="15"/>
    <w:p>
      <w:pPr>
        <w:pStyle w:val="2"/>
        <w:spacing w:before="0" w:after="0" w:line="580" w:lineRule="exact"/>
        <w:ind w:firstLine="640" w:firstLineChars="200"/>
        <w:rPr>
          <w:rFonts w:ascii="黑体" w:hAnsi="黑体" w:eastAsia="黑体" w:cs="楷体_GB2312"/>
          <w:b w:val="0"/>
          <w:bCs/>
          <w:color w:val="auto"/>
          <w:sz w:val="32"/>
          <w:szCs w:val="32"/>
        </w:rPr>
      </w:pPr>
      <w:bookmarkStart w:id="16" w:name="_Toc36802469"/>
      <w:r>
        <w:rPr>
          <w:rFonts w:hint="eastAsia" w:ascii="黑体" w:hAnsi="黑体" w:eastAsia="黑体" w:cs="楷体_GB2312"/>
          <w:b w:val="0"/>
          <w:bCs/>
          <w:color w:val="auto"/>
          <w:sz w:val="32"/>
          <w:szCs w:val="32"/>
        </w:rPr>
        <w:t>三、存在的问题</w:t>
      </w:r>
      <w:bookmarkEnd w:id="16"/>
      <w:r>
        <w:rPr>
          <w:rFonts w:hint="eastAsia" w:ascii="黑体" w:hAnsi="黑体" w:eastAsia="黑体" w:cs="楷体_GB2312"/>
          <w:b w:val="0"/>
          <w:bCs/>
          <w:color w:val="auto"/>
          <w:sz w:val="32"/>
          <w:szCs w:val="32"/>
        </w:rPr>
        <w:t>及改进措施</w:t>
      </w:r>
    </w:p>
    <w:p>
      <w:pPr>
        <w:pStyle w:val="3"/>
        <w:spacing w:before="0" w:after="0" w:line="580" w:lineRule="exact"/>
        <w:ind w:firstLine="640" w:firstLineChars="200"/>
        <w:rPr>
          <w:rFonts w:ascii="楷体_GB2312" w:hAnsi="仿宋_GB2312" w:eastAsia="楷体_GB2312" w:cs="仿宋_GB2312"/>
          <w:b w:val="0"/>
          <w:bCs/>
          <w:color w:val="auto"/>
          <w:szCs w:val="32"/>
        </w:rPr>
      </w:pPr>
      <w:r>
        <w:rPr>
          <w:rFonts w:hint="eastAsia" w:ascii="楷体_GB2312" w:hAnsi="仿宋_GB2312" w:eastAsia="楷体_GB2312" w:cs="仿宋_GB2312"/>
          <w:b w:val="0"/>
          <w:bCs/>
          <w:color w:val="auto"/>
          <w:szCs w:val="32"/>
        </w:rPr>
        <w:t>（一）存在的问题</w:t>
      </w:r>
    </w:p>
    <w:p>
      <w:pPr>
        <w:spacing w:line="360" w:lineRule="auto"/>
        <w:ind w:firstLine="640" w:firstLineChars="200"/>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eastAsia="zh-CN"/>
        </w:rPr>
        <w:t>绩效目标设定工作有待提升。因事前绩效评估不足，项目数据库数据不够全面，完整，导致部分项目绩效目标设置不够简明扼要，清晰直观，不便于理解和衡量。部分项目预算数量关键点不突出，数量不够精准。</w:t>
      </w:r>
    </w:p>
    <w:p>
      <w:pPr>
        <w:spacing w:line="360" w:lineRule="auto"/>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t>绩效工作</w:t>
      </w:r>
      <w:r>
        <w:rPr>
          <w:rFonts w:ascii="仿宋_GB2312" w:hAnsi="仿宋_GB2312" w:eastAsia="仿宋_GB2312" w:cs="仿宋_GB2312"/>
          <w:color w:val="auto"/>
          <w:sz w:val="32"/>
          <w:szCs w:val="32"/>
        </w:rPr>
        <w:t>管理</w:t>
      </w:r>
      <w:r>
        <w:rPr>
          <w:rFonts w:hint="eastAsia" w:ascii="仿宋_GB2312" w:hAnsi="仿宋_GB2312" w:eastAsia="仿宋_GB2312" w:cs="仿宋_GB2312"/>
          <w:color w:val="auto"/>
          <w:sz w:val="32"/>
          <w:szCs w:val="32"/>
        </w:rPr>
        <w:t>有待加强。绩效工作管理还存在一定的薄弱环节，绩效管理相关制度不健全，个别庭</w:t>
      </w:r>
      <w:r>
        <w:rPr>
          <w:rFonts w:hint="eastAsia" w:ascii="仿宋_GB2312" w:hAnsi="仿宋_GB2312" w:eastAsia="仿宋_GB2312" w:cs="仿宋_GB2312"/>
          <w:color w:val="auto"/>
          <w:sz w:val="32"/>
          <w:szCs w:val="32"/>
          <w:lang w:eastAsia="zh-CN"/>
        </w:rPr>
        <w:t>科室</w:t>
      </w:r>
      <w:r>
        <w:rPr>
          <w:rFonts w:hint="eastAsia" w:ascii="仿宋_GB2312" w:hAnsi="仿宋_GB2312" w:eastAsia="仿宋_GB2312" w:cs="仿宋_GB2312"/>
          <w:color w:val="auto"/>
          <w:sz w:val="32"/>
          <w:szCs w:val="32"/>
        </w:rPr>
        <w:t>绩效理念尚未</w:t>
      </w:r>
      <w:r>
        <w:rPr>
          <w:rFonts w:hint="eastAsia" w:ascii="仿宋_GB2312" w:hAnsi="仿宋_GB2312" w:eastAsia="仿宋_GB2312" w:cs="仿宋_GB2312"/>
          <w:color w:val="auto"/>
          <w:sz w:val="32"/>
          <w:szCs w:val="32"/>
          <w:lang w:eastAsia="zh-CN"/>
        </w:rPr>
        <w:t>全面</w:t>
      </w:r>
      <w:r>
        <w:rPr>
          <w:rFonts w:hint="eastAsia" w:ascii="仿宋_GB2312" w:hAnsi="仿宋_GB2312" w:eastAsia="仿宋_GB2312" w:cs="仿宋_GB2312"/>
          <w:color w:val="auto"/>
          <w:sz w:val="32"/>
          <w:szCs w:val="32"/>
        </w:rPr>
        <w:t>树立、绩效管理职责不明确，绩效指标激励约束作用不强，存在重投入轻管理、重支出轻绩效的问题，绩效工作管理的广度和深度不足。</w:t>
      </w:r>
    </w:p>
    <w:p>
      <w:pPr>
        <w:spacing w:line="58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部分庭</w:t>
      </w:r>
      <w:r>
        <w:rPr>
          <w:rFonts w:hint="eastAsia" w:ascii="仿宋_GB2312" w:hAnsi="仿宋_GB2312" w:eastAsia="仿宋_GB2312" w:cs="仿宋_GB2312"/>
          <w:color w:val="auto"/>
          <w:sz w:val="32"/>
          <w:szCs w:val="32"/>
          <w:lang w:eastAsia="zh-CN"/>
        </w:rPr>
        <w:t>科室</w:t>
      </w:r>
      <w:r>
        <w:rPr>
          <w:rFonts w:hint="eastAsia" w:ascii="仿宋_GB2312" w:hAnsi="仿宋_GB2312" w:eastAsia="仿宋_GB2312" w:cs="仿宋_GB2312"/>
          <w:color w:val="auto"/>
          <w:sz w:val="32"/>
          <w:szCs w:val="32"/>
        </w:rPr>
        <w:t>未能有效协同推进实施绩效管理</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未做好预算项目的梳理和总结工作，不能全面掌握绩效目标、指标的实际完成情况以及预算资金执行情况。部分较复杂的综合性预算项目，所设指标涉及多个</w:t>
      </w:r>
      <w:r>
        <w:rPr>
          <w:rFonts w:hint="eastAsia" w:ascii="仿宋_GB2312" w:hAnsi="仿宋_GB2312" w:eastAsia="仿宋_GB2312" w:cs="仿宋_GB2312"/>
          <w:color w:val="auto"/>
          <w:sz w:val="32"/>
          <w:szCs w:val="32"/>
          <w:lang w:eastAsia="zh-CN"/>
        </w:rPr>
        <w:t>庭、科室</w:t>
      </w:r>
      <w:r>
        <w:rPr>
          <w:rFonts w:hint="eastAsia" w:ascii="仿宋_GB2312" w:hAnsi="仿宋_GB2312" w:eastAsia="仿宋_GB2312" w:cs="仿宋_GB2312"/>
          <w:color w:val="auto"/>
          <w:sz w:val="32"/>
          <w:szCs w:val="32"/>
        </w:rPr>
        <w:t>，部分庭</w:t>
      </w:r>
      <w:r>
        <w:rPr>
          <w:rFonts w:hint="eastAsia" w:ascii="仿宋_GB2312" w:hAnsi="仿宋_GB2312" w:eastAsia="仿宋_GB2312" w:cs="仿宋_GB2312"/>
          <w:color w:val="auto"/>
          <w:sz w:val="32"/>
          <w:szCs w:val="32"/>
          <w:lang w:eastAsia="zh-CN"/>
        </w:rPr>
        <w:t>科室</w:t>
      </w:r>
      <w:r>
        <w:rPr>
          <w:rFonts w:hint="eastAsia" w:ascii="仿宋_GB2312" w:hAnsi="仿宋_GB2312" w:eastAsia="仿宋_GB2312" w:cs="仿宋_GB2312"/>
          <w:color w:val="auto"/>
          <w:sz w:val="32"/>
          <w:szCs w:val="32"/>
        </w:rPr>
        <w:t>之间未能协同推进实施绩效管理，不能综合地反映预算项目的产出和效果。</w:t>
      </w:r>
    </w:p>
    <w:p>
      <w:pPr>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4、</w:t>
      </w:r>
      <w:r>
        <w:rPr>
          <w:rFonts w:hint="eastAsia" w:ascii="仿宋_GB2312" w:hAnsi="仿宋_GB2312" w:eastAsia="仿宋_GB2312" w:cs="仿宋_GB2312"/>
          <w:color w:val="auto"/>
          <w:sz w:val="32"/>
          <w:szCs w:val="32"/>
        </w:rPr>
        <w:t>相关业务管理制度有待完善。部分庭</w:t>
      </w:r>
      <w:r>
        <w:rPr>
          <w:rFonts w:hint="eastAsia" w:ascii="仿宋_GB2312" w:hAnsi="仿宋_GB2312" w:eastAsia="仿宋_GB2312" w:cs="仿宋_GB2312"/>
          <w:color w:val="auto"/>
          <w:sz w:val="32"/>
          <w:szCs w:val="32"/>
          <w:lang w:eastAsia="zh-CN"/>
        </w:rPr>
        <w:t>科室</w:t>
      </w:r>
      <w:r>
        <w:rPr>
          <w:rFonts w:hint="eastAsia" w:ascii="仿宋_GB2312" w:hAnsi="仿宋_GB2312" w:eastAsia="仿宋_GB2312" w:cs="仿宋_GB2312"/>
          <w:color w:val="auto"/>
          <w:sz w:val="32"/>
          <w:szCs w:val="32"/>
        </w:rPr>
        <w:t>未制定相关业务管理制度，或制度界定不明确、规范笼统，预算项目的监督管理存在一定的制度缺陷。</w:t>
      </w:r>
    </w:p>
    <w:p>
      <w:pPr>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5、</w:t>
      </w:r>
      <w:r>
        <w:rPr>
          <w:rFonts w:hint="eastAsia" w:ascii="仿宋_GB2312" w:hAnsi="仿宋_GB2312" w:eastAsia="仿宋_GB2312" w:cs="仿宋_GB2312"/>
          <w:color w:val="auto"/>
          <w:sz w:val="32"/>
          <w:szCs w:val="32"/>
        </w:rPr>
        <w:t>项目过程管理有待加强。主要表现为个别项目资料过程不完整；</w:t>
      </w:r>
      <w:r>
        <w:rPr>
          <w:rFonts w:hint="eastAsia" w:ascii="仿宋_GB2312" w:eastAsia="仿宋_GB2312"/>
          <w:color w:val="auto"/>
          <w:sz w:val="32"/>
          <w:szCs w:val="32"/>
        </w:rPr>
        <w:t>部分项目资料未填写签订时间、验收时间且无相关人员签字。</w:t>
      </w:r>
    </w:p>
    <w:p>
      <w:pPr>
        <w:ind w:firstLine="640" w:firstLineChars="200"/>
        <w:rPr>
          <w:rFonts w:hint="eastAsia" w:ascii="仿宋_GB2312" w:hAnsi="仿宋_GB2312" w:eastAsia="仿宋_GB2312" w:cs="仿宋_GB2312"/>
          <w:color w:val="auto"/>
          <w:sz w:val="32"/>
          <w:szCs w:val="32"/>
          <w:lang w:eastAsia="zh-CN"/>
        </w:rPr>
      </w:pPr>
      <w:r>
        <w:rPr>
          <w:rFonts w:hint="eastAsia" w:ascii="仿宋_GB2312" w:hAnsi="宋体" w:eastAsia="仿宋_GB2312"/>
          <w:color w:val="auto"/>
          <w:sz w:val="32"/>
          <w:szCs w:val="32"/>
          <w:lang w:val="en-US" w:eastAsia="zh-CN"/>
        </w:rPr>
        <w:t>6、</w:t>
      </w:r>
      <w:r>
        <w:rPr>
          <w:rFonts w:hint="eastAsia" w:ascii="仿宋_GB2312" w:hAnsi="宋体" w:eastAsia="仿宋_GB2312"/>
          <w:color w:val="auto"/>
          <w:sz w:val="32"/>
          <w:szCs w:val="32"/>
        </w:rPr>
        <w:t>部分项目执行进度慢。</w:t>
      </w:r>
      <w:r>
        <w:rPr>
          <w:rFonts w:hint="eastAsia" w:ascii="仿宋_GB2312" w:hAnsi="宋体" w:eastAsia="仿宋_GB2312"/>
          <w:color w:val="auto"/>
          <w:sz w:val="32"/>
          <w:szCs w:val="32"/>
          <w:lang w:eastAsia="zh-CN"/>
        </w:rPr>
        <w:t>主要表现为未按照项目计划进行执行，进度较慢后期未能调整到位。</w:t>
      </w:r>
    </w:p>
    <w:p>
      <w:pPr>
        <w:spacing w:line="58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7、</w:t>
      </w:r>
      <w:r>
        <w:rPr>
          <w:rFonts w:hint="eastAsia" w:ascii="仿宋_GB2312" w:hAnsi="仿宋_GB2312" w:eastAsia="仿宋_GB2312" w:cs="仿宋_GB2312"/>
          <w:color w:val="auto"/>
          <w:sz w:val="32"/>
          <w:szCs w:val="32"/>
        </w:rPr>
        <w:t>资金管理有待加强。部分庭</w:t>
      </w:r>
      <w:r>
        <w:rPr>
          <w:rFonts w:hint="eastAsia" w:ascii="仿宋_GB2312" w:hAnsi="仿宋_GB2312" w:eastAsia="仿宋_GB2312" w:cs="仿宋_GB2312"/>
          <w:color w:val="auto"/>
          <w:sz w:val="32"/>
          <w:szCs w:val="32"/>
          <w:lang w:eastAsia="zh-CN"/>
        </w:rPr>
        <w:t>科室</w:t>
      </w:r>
      <w:r>
        <w:rPr>
          <w:rFonts w:hint="eastAsia" w:ascii="仿宋_GB2312" w:hAnsi="仿宋_GB2312" w:eastAsia="仿宋_GB2312" w:cs="仿宋_GB2312"/>
          <w:color w:val="auto"/>
          <w:sz w:val="32"/>
          <w:szCs w:val="32"/>
        </w:rPr>
        <w:t>制定的工作计划不详尽或未制定相关的工作计划和重点项目实施计划。在工作中，往往存在重视资金的争取</w:t>
      </w:r>
      <w:r>
        <w:rPr>
          <w:rFonts w:hint="eastAsia" w:ascii="仿宋_GB2312" w:hAnsi="仿宋_GB2312" w:eastAsia="仿宋_GB2312" w:cs="仿宋_GB2312"/>
          <w:color w:val="auto"/>
          <w:sz w:val="32"/>
          <w:szCs w:val="32"/>
          <w:lang w:eastAsia="zh-CN"/>
        </w:rPr>
        <w:t>而</w:t>
      </w:r>
      <w:r>
        <w:rPr>
          <w:rFonts w:hint="eastAsia" w:ascii="仿宋_GB2312" w:hAnsi="仿宋_GB2312" w:eastAsia="仿宋_GB2312" w:cs="仿宋_GB2312"/>
          <w:color w:val="auto"/>
          <w:sz w:val="32"/>
          <w:szCs w:val="32"/>
        </w:rPr>
        <w:t>忽略资金的使用</w:t>
      </w:r>
      <w:r>
        <w:rPr>
          <w:rFonts w:hint="eastAsia" w:ascii="仿宋_GB2312" w:hAnsi="仿宋_GB2312" w:eastAsia="仿宋_GB2312" w:cs="仿宋_GB2312"/>
          <w:color w:val="auto"/>
          <w:sz w:val="32"/>
          <w:szCs w:val="32"/>
          <w:lang w:eastAsia="zh-CN"/>
        </w:rPr>
        <w:t>的情况</w:t>
      </w:r>
      <w:r>
        <w:rPr>
          <w:rFonts w:hint="eastAsia" w:ascii="仿宋_GB2312" w:hAnsi="仿宋_GB2312" w:eastAsia="仿宋_GB2312" w:cs="仿宋_GB2312"/>
          <w:color w:val="auto"/>
          <w:sz w:val="32"/>
          <w:szCs w:val="32"/>
        </w:rPr>
        <w:t>，重视资金支出数量</w:t>
      </w:r>
      <w:r>
        <w:rPr>
          <w:rFonts w:hint="eastAsia" w:ascii="仿宋_GB2312" w:hAnsi="仿宋_GB2312" w:eastAsia="仿宋_GB2312" w:cs="仿宋_GB2312"/>
          <w:color w:val="auto"/>
          <w:sz w:val="32"/>
          <w:szCs w:val="32"/>
          <w:lang w:eastAsia="zh-CN"/>
        </w:rPr>
        <w:t>而</w:t>
      </w:r>
      <w:r>
        <w:rPr>
          <w:rFonts w:hint="eastAsia" w:ascii="仿宋_GB2312" w:hAnsi="仿宋_GB2312" w:eastAsia="仿宋_GB2312" w:cs="仿宋_GB2312"/>
          <w:color w:val="auto"/>
          <w:sz w:val="32"/>
          <w:szCs w:val="32"/>
        </w:rPr>
        <w:t>忽略资金支出时效的问题，部分项目预算金额与实际执行金额</w:t>
      </w:r>
      <w:r>
        <w:rPr>
          <w:rFonts w:hint="eastAsia" w:ascii="仿宋_GB2312" w:hAnsi="仿宋_GB2312" w:eastAsia="仿宋_GB2312" w:cs="仿宋_GB2312"/>
          <w:color w:val="auto"/>
          <w:sz w:val="32"/>
          <w:szCs w:val="32"/>
          <w:lang w:eastAsia="zh-CN"/>
        </w:rPr>
        <w:t>有一定</w:t>
      </w:r>
      <w:r>
        <w:rPr>
          <w:rFonts w:hint="eastAsia" w:ascii="仿宋_GB2312" w:hAnsi="仿宋_GB2312" w:eastAsia="仿宋_GB2312" w:cs="仿宋_GB2312"/>
          <w:color w:val="auto"/>
          <w:sz w:val="32"/>
          <w:szCs w:val="32"/>
        </w:rPr>
        <w:t>偏差，部分项目的预算资金虽然全部执行，但未严格按照预算支出进度、项目实施计划的要求支出。</w:t>
      </w:r>
    </w:p>
    <w:p>
      <w:pPr>
        <w:pStyle w:val="3"/>
        <w:spacing w:before="0" w:after="0" w:line="580" w:lineRule="exact"/>
        <w:ind w:firstLine="470" w:firstLineChars="147"/>
        <w:rPr>
          <w:rFonts w:hint="eastAsia" w:ascii="仿宋_GB2312" w:hAnsi="仿宋_GB2312" w:eastAsia="仿宋_GB2312" w:cs="仿宋_GB2312"/>
          <w:b w:val="0"/>
          <w:bCs/>
          <w:color w:val="auto"/>
          <w:sz w:val="32"/>
          <w:szCs w:val="32"/>
          <w:lang w:val="en-US" w:eastAsia="zh-CN"/>
        </w:rPr>
      </w:pPr>
      <w:r>
        <w:rPr>
          <w:rFonts w:hint="eastAsia" w:ascii="楷体_GB2312" w:hAnsi="仿宋_GB2312" w:eastAsia="楷体_GB2312" w:cs="仿宋_GB2312"/>
          <w:b w:val="0"/>
          <w:bCs/>
          <w:color w:val="auto"/>
          <w:szCs w:val="32"/>
        </w:rPr>
        <w:t>（二）改进措施</w:t>
      </w:r>
    </w:p>
    <w:p>
      <w:pPr>
        <w:spacing w:line="580" w:lineRule="exact"/>
        <w:ind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科学规范的设定绩效目标，提升绩效目标的质量。使绩效目标清晰的反映预算资金的预期产出和效果，并以精准的指向性绩效指标予以细化。能量化的绩效指标尽可能的量化，既要符合法院工作的特点和实际情况，又要实事求是，客观公正。</w:t>
      </w:r>
    </w:p>
    <w:p>
      <w:pPr>
        <w:spacing w:line="58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t>建立健全相关绩效管理制度，</w:t>
      </w:r>
      <w:r>
        <w:rPr>
          <w:rFonts w:hint="eastAsia" w:ascii="仿宋_GB2312" w:hAnsi="仿宋_GB2312" w:eastAsia="仿宋_GB2312" w:cs="仿宋_GB2312"/>
          <w:color w:val="auto"/>
          <w:sz w:val="32"/>
          <w:szCs w:val="32"/>
          <w:lang w:eastAsia="zh-CN"/>
        </w:rPr>
        <w:t>强</w:t>
      </w:r>
      <w:r>
        <w:rPr>
          <w:rFonts w:hint="eastAsia" w:ascii="仿宋_GB2312" w:hAnsi="仿宋_GB2312" w:eastAsia="仿宋_GB2312" w:cs="仿宋_GB2312"/>
          <w:color w:val="auto"/>
          <w:sz w:val="32"/>
          <w:szCs w:val="32"/>
        </w:rPr>
        <w:t>化预算绩效约束。</w:t>
      </w:r>
    </w:p>
    <w:p>
      <w:pPr>
        <w:spacing w:line="58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坚持权责对等、约束有力，明确各责任庭</w:t>
      </w:r>
      <w:r>
        <w:rPr>
          <w:rFonts w:hint="eastAsia" w:ascii="仿宋_GB2312" w:hAnsi="仿宋_GB2312" w:eastAsia="仿宋_GB2312" w:cs="仿宋_GB2312"/>
          <w:color w:val="auto"/>
          <w:sz w:val="32"/>
          <w:szCs w:val="32"/>
          <w:lang w:eastAsia="zh-CN"/>
        </w:rPr>
        <w:t>科室</w:t>
      </w:r>
      <w:r>
        <w:rPr>
          <w:rFonts w:hint="eastAsia" w:ascii="仿宋_GB2312" w:hAnsi="仿宋_GB2312" w:eastAsia="仿宋_GB2312" w:cs="仿宋_GB2312"/>
          <w:color w:val="auto"/>
          <w:sz w:val="32"/>
          <w:szCs w:val="32"/>
        </w:rPr>
        <w:t>的预算绩效申报和管理责任，做到“谁支出，谁自评”“花钱必问效，无效必问责”。建立健全激励约束机制，实现绩效评价结果与预算安排相挂钩。增强预算统筹能力，优化预算管理流程，调动各庭</w:t>
      </w:r>
      <w:r>
        <w:rPr>
          <w:rFonts w:hint="eastAsia" w:ascii="仿宋_GB2312" w:hAnsi="仿宋_GB2312" w:eastAsia="仿宋_GB2312" w:cs="仿宋_GB2312"/>
          <w:color w:val="auto"/>
          <w:sz w:val="32"/>
          <w:szCs w:val="32"/>
          <w:lang w:eastAsia="zh-CN"/>
        </w:rPr>
        <w:t>科室</w:t>
      </w:r>
      <w:r>
        <w:rPr>
          <w:rFonts w:hint="eastAsia" w:ascii="仿宋_GB2312" w:hAnsi="仿宋_GB2312" w:eastAsia="仿宋_GB2312" w:cs="仿宋_GB2312"/>
          <w:color w:val="auto"/>
          <w:sz w:val="32"/>
          <w:szCs w:val="32"/>
        </w:rPr>
        <w:t>的积极性、主动性。</w:t>
      </w:r>
    </w:p>
    <w:p>
      <w:pPr>
        <w:spacing w:line="58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及时梳理和总结，协同推进实施绩效管理。</w:t>
      </w:r>
    </w:p>
    <w:p>
      <w:pPr>
        <w:spacing w:line="58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各庭</w:t>
      </w:r>
      <w:r>
        <w:rPr>
          <w:rFonts w:hint="eastAsia" w:ascii="仿宋_GB2312" w:hAnsi="仿宋_GB2312" w:eastAsia="仿宋_GB2312" w:cs="仿宋_GB2312"/>
          <w:color w:val="auto"/>
          <w:sz w:val="32"/>
          <w:szCs w:val="32"/>
          <w:lang w:eastAsia="zh-CN"/>
        </w:rPr>
        <w:t>科</w:t>
      </w:r>
      <w:r>
        <w:rPr>
          <w:rFonts w:hint="eastAsia" w:ascii="仿宋_GB2312" w:hAnsi="仿宋_GB2312" w:eastAsia="仿宋_GB2312" w:cs="仿宋_GB2312"/>
          <w:color w:val="auto"/>
          <w:sz w:val="32"/>
          <w:szCs w:val="32"/>
        </w:rPr>
        <w:t>室要做好项目的梳理和总结工作，掌握项目预算资金的执行情况以及绩效目标、指标的完成情况。针对多部门共同实施的较复杂的综合性项目，由项目责任</w:t>
      </w:r>
      <w:r>
        <w:rPr>
          <w:rFonts w:hint="eastAsia" w:ascii="仿宋_GB2312" w:hAnsi="仿宋_GB2312" w:eastAsia="仿宋_GB2312" w:cs="仿宋_GB2312"/>
          <w:color w:val="auto"/>
          <w:sz w:val="32"/>
          <w:szCs w:val="32"/>
          <w:lang w:eastAsia="zh-CN"/>
        </w:rPr>
        <w:t>科</w:t>
      </w:r>
      <w:r>
        <w:rPr>
          <w:rFonts w:hint="eastAsia" w:ascii="仿宋_GB2312" w:hAnsi="仿宋_GB2312" w:eastAsia="仿宋_GB2312" w:cs="仿宋_GB2312"/>
          <w:color w:val="auto"/>
          <w:sz w:val="32"/>
          <w:szCs w:val="32"/>
        </w:rPr>
        <w:t>室牵头，各部门积极参与配合，完成预算项目的综合评价工作，保证准确地、全面地反映和评价预算项目的产出和效果，实现预算项目的价值与意义。</w:t>
      </w:r>
    </w:p>
    <w:p>
      <w:pPr>
        <w:spacing w:line="580" w:lineRule="exact"/>
        <w:ind w:firstLine="640" w:firstLineChars="200"/>
        <w:rPr>
          <w:rFonts w:ascii="仿宋_GB2312" w:eastAsia="仿宋_GB2312"/>
          <w:color w:val="auto"/>
          <w:sz w:val="32"/>
          <w:szCs w:val="32"/>
        </w:rPr>
      </w:pPr>
      <w:r>
        <w:rPr>
          <w:rFonts w:hint="eastAsia" w:ascii="仿宋_GB2312" w:eastAsia="仿宋_GB2312"/>
          <w:color w:val="auto"/>
          <w:sz w:val="32"/>
          <w:szCs w:val="32"/>
          <w:lang w:val="en-US" w:eastAsia="zh-CN"/>
        </w:rPr>
        <w:t>4、</w:t>
      </w:r>
      <w:r>
        <w:rPr>
          <w:rFonts w:hint="eastAsia" w:ascii="仿宋_GB2312" w:eastAsia="仿宋_GB2312"/>
          <w:color w:val="auto"/>
          <w:sz w:val="32"/>
          <w:szCs w:val="32"/>
        </w:rPr>
        <w:t>建立健全业务制度。</w:t>
      </w:r>
    </w:p>
    <w:p>
      <w:pPr>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结合此次总结出来的问题，对相关制度进行进一步修订和完善，在实际工作中严格依规办事、照章办事，强化制度的刚性执行。</w:t>
      </w:r>
      <w:r>
        <w:rPr>
          <w:rFonts w:ascii="仿宋_GB2312" w:hAnsi="仿宋_GB2312" w:eastAsia="仿宋_GB2312" w:cs="仿宋_GB2312"/>
          <w:color w:val="auto"/>
          <w:sz w:val="32"/>
          <w:szCs w:val="32"/>
        </w:rPr>
        <w:t xml:space="preserve"> </w:t>
      </w:r>
    </w:p>
    <w:p>
      <w:pPr>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eastAsia="zh-CN"/>
        </w:rPr>
        <w:t>工程类项目，</w:t>
      </w:r>
      <w:r>
        <w:rPr>
          <w:rFonts w:hint="eastAsia" w:ascii="仿宋_GB2312" w:hAnsi="仿宋_GB2312" w:eastAsia="仿宋_GB2312" w:cs="仿宋_GB2312"/>
          <w:color w:val="auto"/>
          <w:sz w:val="32"/>
          <w:szCs w:val="32"/>
        </w:rPr>
        <w:t>建立健全项目监督管理机制，强化相关庭</w:t>
      </w:r>
      <w:r>
        <w:rPr>
          <w:rFonts w:hint="eastAsia" w:ascii="仿宋_GB2312" w:hAnsi="仿宋_GB2312" w:eastAsia="仿宋_GB2312" w:cs="仿宋_GB2312"/>
          <w:color w:val="auto"/>
          <w:sz w:val="32"/>
          <w:szCs w:val="32"/>
          <w:lang w:eastAsia="zh-CN"/>
        </w:rPr>
        <w:t>科</w:t>
      </w:r>
      <w:r>
        <w:rPr>
          <w:rFonts w:hint="eastAsia" w:ascii="仿宋_GB2312" w:hAnsi="仿宋_GB2312" w:eastAsia="仿宋_GB2312" w:cs="仿宋_GB2312"/>
          <w:color w:val="auto"/>
          <w:sz w:val="32"/>
          <w:szCs w:val="32"/>
        </w:rPr>
        <w:t>室的管理职能。监督管理制度主要包括对预算编制与执行、成本控制、工程价款结算、竣工财务决算编报审核、资产交付等方面。监督检查</w:t>
      </w:r>
      <w:r>
        <w:rPr>
          <w:rFonts w:hint="eastAsia" w:ascii="仿宋_GB2312" w:hAnsi="仿宋_GB2312" w:eastAsia="仿宋_GB2312" w:cs="仿宋_GB2312"/>
          <w:color w:val="auto"/>
          <w:sz w:val="32"/>
          <w:szCs w:val="32"/>
          <w:lang w:eastAsia="zh-CN"/>
        </w:rPr>
        <w:t>方式要采用</w:t>
      </w:r>
      <w:r>
        <w:rPr>
          <w:rFonts w:hint="eastAsia" w:ascii="仿宋_GB2312" w:hAnsi="仿宋_GB2312" w:eastAsia="仿宋_GB2312" w:cs="仿宋_GB2312"/>
          <w:color w:val="auto"/>
          <w:sz w:val="32"/>
          <w:szCs w:val="32"/>
        </w:rPr>
        <w:t>经常化与不定期或有针对性地进行相结合，重点对资金管理使用、项目计划落实、项目施工质量、工程验收结果等方面进行检查，确保工程在规定的期限内完工，达到</w:t>
      </w:r>
      <w:r>
        <w:rPr>
          <w:rFonts w:hint="eastAsia" w:ascii="仿宋_GB2312" w:hAnsi="仿宋_GB2312" w:eastAsia="仿宋_GB2312" w:cs="仿宋_GB2312"/>
          <w:color w:val="auto"/>
          <w:sz w:val="32"/>
          <w:szCs w:val="32"/>
          <w:lang w:eastAsia="zh-CN"/>
        </w:rPr>
        <w:t>项目要求</w:t>
      </w:r>
      <w:r>
        <w:rPr>
          <w:rFonts w:hint="eastAsia" w:ascii="仿宋_GB2312" w:hAnsi="仿宋_GB2312" w:eastAsia="仿宋_GB2312" w:cs="仿宋_GB2312"/>
          <w:color w:val="auto"/>
          <w:sz w:val="32"/>
          <w:szCs w:val="32"/>
        </w:rPr>
        <w:t>或标准，保障相关业务、工作等开展。</w:t>
      </w:r>
    </w:p>
    <w:p>
      <w:pPr>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培训类项目，建立健全培训考核和培训质量评估机制，落实相关</w:t>
      </w:r>
      <w:r>
        <w:rPr>
          <w:rFonts w:hint="eastAsia" w:ascii="仿宋_GB2312" w:hAnsi="仿宋_GB2312" w:eastAsia="仿宋_GB2312" w:cs="仿宋_GB2312"/>
          <w:color w:val="auto"/>
          <w:sz w:val="32"/>
          <w:szCs w:val="32"/>
          <w:lang w:eastAsia="zh-CN"/>
        </w:rPr>
        <w:t>科</w:t>
      </w:r>
      <w:r>
        <w:rPr>
          <w:rFonts w:hint="eastAsia" w:ascii="仿宋_GB2312" w:hAnsi="仿宋_GB2312" w:eastAsia="仿宋_GB2312" w:cs="仿宋_GB2312"/>
          <w:color w:val="auto"/>
          <w:sz w:val="32"/>
          <w:szCs w:val="32"/>
        </w:rPr>
        <w:t>室的管理职责和各承办庭</w:t>
      </w:r>
      <w:r>
        <w:rPr>
          <w:rFonts w:hint="eastAsia" w:ascii="仿宋_GB2312" w:hAnsi="仿宋_GB2312" w:eastAsia="仿宋_GB2312" w:cs="仿宋_GB2312"/>
          <w:color w:val="auto"/>
          <w:sz w:val="32"/>
          <w:szCs w:val="32"/>
          <w:lang w:eastAsia="zh-CN"/>
        </w:rPr>
        <w:t>科</w:t>
      </w:r>
      <w:r>
        <w:rPr>
          <w:rFonts w:hint="eastAsia" w:ascii="仿宋_GB2312" w:hAnsi="仿宋_GB2312" w:eastAsia="仿宋_GB2312" w:cs="仿宋_GB2312"/>
          <w:color w:val="auto"/>
          <w:sz w:val="32"/>
          <w:szCs w:val="32"/>
        </w:rPr>
        <w:t>室的直接责任。严格按照年度培训计划执行，完善培训过程相关资料。待培训工作结束后及时进行总结和梳理工作，增强培训工作的针对性和实用性。</w:t>
      </w:r>
    </w:p>
    <w:p>
      <w:pPr>
        <w:spacing w:line="580" w:lineRule="exact"/>
        <w:ind w:firstLine="640" w:firstLineChars="200"/>
        <w:rPr>
          <w:rFonts w:ascii="仿宋_GB2312" w:eastAsia="仿宋_GB2312"/>
          <w:color w:val="auto"/>
          <w:sz w:val="32"/>
          <w:szCs w:val="32"/>
        </w:rPr>
      </w:pPr>
      <w:r>
        <w:rPr>
          <w:rFonts w:hint="eastAsia" w:ascii="仿宋_GB2312" w:eastAsia="仿宋_GB2312"/>
          <w:color w:val="auto"/>
          <w:sz w:val="32"/>
          <w:szCs w:val="32"/>
          <w:lang w:val="en-US" w:eastAsia="zh-CN"/>
        </w:rPr>
        <w:t>5、</w:t>
      </w:r>
      <w:r>
        <w:rPr>
          <w:rFonts w:hint="eastAsia" w:ascii="仿宋_GB2312" w:eastAsia="仿宋_GB2312"/>
          <w:color w:val="auto"/>
          <w:sz w:val="32"/>
          <w:szCs w:val="32"/>
        </w:rPr>
        <w:t>加强</w:t>
      </w:r>
      <w:r>
        <w:rPr>
          <w:rFonts w:hint="eastAsia" w:ascii="仿宋_GB2312" w:hAnsi="仿宋_GB2312" w:eastAsia="仿宋_GB2312" w:cs="仿宋_GB2312"/>
          <w:color w:val="auto"/>
          <w:sz w:val="32"/>
          <w:szCs w:val="32"/>
        </w:rPr>
        <w:t>项目的过程管理。</w:t>
      </w:r>
    </w:p>
    <w:p>
      <w:pPr>
        <w:spacing w:line="58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注重项目实施过程中资料的搜集整理，加强项目资料的审核工作，及时补充完整项目信息，确保信息的真实性、可靠性以及工作成果的可衡量性。</w:t>
      </w:r>
    </w:p>
    <w:p>
      <w:pPr>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项目完成招投标后，及时签订合同和相关协议，根据项目实施调整情况，就调整事项签订补充协议。</w:t>
      </w:r>
    </w:p>
    <w:p>
      <w:pPr>
        <w:spacing w:line="58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6、</w:t>
      </w:r>
      <w:r>
        <w:rPr>
          <w:rFonts w:hint="eastAsia" w:ascii="仿宋_GB2312" w:hAnsi="仿宋_GB2312" w:eastAsia="仿宋_GB2312" w:cs="仿宋_GB2312"/>
          <w:color w:val="auto"/>
          <w:sz w:val="32"/>
          <w:szCs w:val="32"/>
        </w:rPr>
        <w:t>加快项目实施进度。</w:t>
      </w:r>
    </w:p>
    <w:p>
      <w:pPr>
        <w:spacing w:line="580" w:lineRule="exact"/>
        <w:ind w:firstLine="640" w:firstLineChars="200"/>
        <w:rPr>
          <w:rFonts w:ascii="仿宋_GB2312" w:hAnsi="仿宋_GB2312" w:eastAsia="仿宋_GB2312" w:cs="仿宋_GB2312"/>
          <w:color w:val="auto"/>
          <w:sz w:val="32"/>
          <w:szCs w:val="32"/>
        </w:rPr>
      </w:pPr>
      <w:r>
        <w:rPr>
          <w:rFonts w:hint="eastAsia" w:ascii="仿宋_GB2312" w:eastAsia="仿宋_GB2312"/>
          <w:color w:val="auto"/>
          <w:sz w:val="32"/>
          <w:szCs w:val="32"/>
        </w:rPr>
        <w:t>按照预算资金支出进度要求和绩效目标，实时监控，</w:t>
      </w:r>
      <w:r>
        <w:rPr>
          <w:rFonts w:hint="eastAsia" w:ascii="仿宋_GB2312" w:hAnsi="仿宋_GB2312" w:eastAsia="仿宋_GB2312" w:cs="仿宋_GB2312"/>
          <w:color w:val="auto"/>
          <w:sz w:val="32"/>
          <w:szCs w:val="32"/>
        </w:rPr>
        <w:t>对于执行进度慢、偏离阶段性目标较大的项目引起重视，及时分析查找原因，大力推进项目实施，确保项目顺利完成。</w:t>
      </w:r>
    </w:p>
    <w:p>
      <w:pPr>
        <w:spacing w:line="580" w:lineRule="exact"/>
        <w:ind w:firstLine="640" w:firstLineChars="200"/>
        <w:rPr>
          <w:rFonts w:eastAsia="仿宋_GB2312"/>
          <w:color w:val="auto"/>
          <w:sz w:val="32"/>
          <w:szCs w:val="32"/>
        </w:rPr>
      </w:pPr>
      <w:r>
        <w:rPr>
          <w:rFonts w:hint="eastAsia" w:eastAsia="仿宋_GB2312"/>
          <w:color w:val="auto"/>
          <w:sz w:val="32"/>
          <w:szCs w:val="32"/>
        </w:rPr>
        <w:t>项</w:t>
      </w:r>
      <w:r>
        <w:rPr>
          <w:rFonts w:eastAsia="仿宋_GB2312"/>
          <w:color w:val="auto"/>
          <w:sz w:val="32"/>
          <w:szCs w:val="32"/>
        </w:rPr>
        <w:t>目实施结束后，及时组织相关人员进行验收，以保证项目产出符合相关标准和规范，</w:t>
      </w:r>
      <w:r>
        <w:rPr>
          <w:rFonts w:hint="eastAsia" w:eastAsia="仿宋_GB2312"/>
          <w:color w:val="auto"/>
          <w:sz w:val="32"/>
          <w:szCs w:val="32"/>
        </w:rPr>
        <w:t>及时准确编制项目竣工财务决算。</w:t>
      </w:r>
    </w:p>
    <w:p>
      <w:pPr>
        <w:spacing w:line="58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7、</w:t>
      </w:r>
      <w:r>
        <w:rPr>
          <w:rFonts w:hint="eastAsia" w:ascii="仿宋_GB2312" w:hAnsi="仿宋_GB2312" w:eastAsia="仿宋_GB2312" w:cs="仿宋_GB2312"/>
          <w:color w:val="auto"/>
          <w:sz w:val="32"/>
          <w:szCs w:val="32"/>
        </w:rPr>
        <w:t>加强资金管理</w:t>
      </w:r>
    </w:p>
    <w:p>
      <w:pPr>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科学合理编制预算，加强预算执行管理。各项资金使用庭</w:t>
      </w:r>
      <w:r>
        <w:rPr>
          <w:rFonts w:hint="eastAsia" w:ascii="仿宋_GB2312" w:hAnsi="仿宋_GB2312" w:eastAsia="仿宋_GB2312" w:cs="仿宋_GB2312"/>
          <w:color w:val="auto"/>
          <w:sz w:val="32"/>
          <w:szCs w:val="32"/>
          <w:lang w:eastAsia="zh-CN"/>
        </w:rPr>
        <w:t>科</w:t>
      </w:r>
      <w:r>
        <w:rPr>
          <w:rFonts w:hint="eastAsia" w:ascii="仿宋_GB2312" w:hAnsi="仿宋_GB2312" w:eastAsia="仿宋_GB2312" w:cs="仿宋_GB2312"/>
          <w:color w:val="auto"/>
          <w:sz w:val="32"/>
          <w:szCs w:val="32"/>
        </w:rPr>
        <w:t>室应尽量制定详尽的费用预算，在预算项目开展过程中严格按照预算标准执行，切实提高预算编制的科学性、精确度。健全专项资金管理制度，对专项资金全程跟踪管理，抓好日常监督、从严安排支出，以便更好地用好资金，不断提高资金使用效益。</w:t>
      </w:r>
      <w:bookmarkStart w:id="17" w:name="_GoBack"/>
      <w:bookmarkEnd w:id="17"/>
    </w:p>
    <w:p>
      <w:pPr>
        <w:ind w:firstLine="640" w:firstLineChars="200"/>
        <w:rPr>
          <w:rFonts w:hint="eastAsia" w:ascii="仿宋_GB2312" w:hAnsi="仿宋_GB2312" w:eastAsia="仿宋_GB2312" w:cs="仿宋_GB2312"/>
          <w:color w:val="auto"/>
          <w:sz w:val="32"/>
          <w:szCs w:val="32"/>
        </w:rPr>
      </w:pPr>
    </w:p>
    <w:p>
      <w:pPr>
        <w:ind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 xml:space="preserve">                              2020年5月29日</w:t>
      </w:r>
    </w:p>
    <w:p>
      <w:pPr>
        <w:ind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 xml:space="preserve">                            石家庄市中级人民法院</w:t>
      </w:r>
    </w:p>
    <w:p>
      <w:pPr>
        <w:rPr>
          <w:rFonts w:ascii="仿宋_GB2312" w:hAnsi="仿宋_GB2312" w:eastAsia="仿宋_GB2312" w:cs="仿宋_GB2312"/>
          <w:color w:val="auto"/>
          <w:sz w:val="32"/>
          <w:szCs w:val="32"/>
        </w:rPr>
      </w:pPr>
    </w:p>
    <w:p>
      <w:pPr>
        <w:rPr>
          <w:rFonts w:ascii="仿宋_GB2312" w:hAnsi="仿宋_GB2312" w:eastAsia="仿宋_GB2312" w:cs="仿宋_GB2312"/>
          <w:color w:val="auto"/>
          <w:sz w:val="32"/>
          <w:szCs w:val="32"/>
        </w:rPr>
      </w:pPr>
    </w:p>
    <w:p>
      <w:pPr>
        <w:pStyle w:val="7"/>
        <w:spacing w:line="600" w:lineRule="exact"/>
        <w:ind w:left="170" w:leftChars="81"/>
        <w:rPr>
          <w:sz w:val="32"/>
          <w:szCs w:val="32"/>
        </w:rPr>
      </w:pPr>
      <w:r>
        <w:rPr>
          <w:rFonts w:hint="eastAsia" w:ascii="仿宋" w:hAnsi="仿宋" w:eastAsia="仿宋"/>
          <w:color w:val="auto"/>
          <w:sz w:val="32"/>
          <w:szCs w:val="32"/>
        </w:rPr>
        <w:t>附件：</w:t>
      </w:r>
      <w:r>
        <w:rPr>
          <w:rFonts w:hint="eastAsia" w:ascii="仿宋_GB2312" w:hAnsi="仿宋_GB2312" w:eastAsia="仿宋_GB2312" w:cs="仿宋_GB2312"/>
          <w:color w:val="auto"/>
          <w:sz w:val="32"/>
          <w:szCs w:val="32"/>
        </w:rPr>
        <w:t>2019年度预算项目绩效</w:t>
      </w:r>
      <w:r>
        <w:rPr>
          <w:rFonts w:hint="eastAsia" w:ascii="仿宋_GB2312" w:hAnsi="仿宋_GB2312" w:eastAsia="仿宋_GB2312" w:cs="仿宋_GB2312"/>
          <w:color w:val="auto"/>
          <w:sz w:val="32"/>
          <w:szCs w:val="32"/>
          <w:lang w:eastAsia="zh-CN"/>
        </w:rPr>
        <w:t>自评表</w:t>
      </w:r>
    </w:p>
    <w:sectPr>
      <w:headerReference r:id="rId4" w:type="default"/>
      <w:footerReference r:id="rId5" w:type="default"/>
      <w:pgSz w:w="11906" w:h="16838"/>
      <w:pgMar w:top="1417" w:right="1701" w:bottom="1417" w:left="1701" w:header="851" w:footer="992" w:gutter="0"/>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Tahoma">
    <w:panose1 w:val="020B0604030504040204"/>
    <w:charset w:val="00"/>
    <w:family w:val="auto"/>
    <w:pitch w:val="default"/>
    <w:sig w:usb0="61007A87" w:usb1="80000000" w:usb2="00000008" w:usb3="00000000" w:csb0="200101FF" w:csb1="20280000"/>
  </w:font>
  <w:font w:name="Symbol">
    <w:panose1 w:val="05050102010706020507"/>
    <w:charset w:val="02"/>
    <w:family w:val="roman"/>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00007A87" w:usb1="80000000" w:usb2="00000008" w:usb3="00000000" w:csb0="400001FF" w:csb1="FFFF0000"/>
  </w:font>
  <w:font w:name="Wingdings">
    <w:panose1 w:val="05000000000000000000"/>
    <w:charset w:val="02"/>
    <w:family w:val="auto"/>
    <w:pitch w:val="default"/>
    <w:sig w:usb0="00000000" w:usb1="00000000" w:usb2="00000000" w:usb3="00000000" w:csb0="80000000" w:csb1="00000000"/>
  </w:font>
  <w:font w:name="微软雅黑">
    <w:panose1 w:val="020B0503020204020204"/>
    <w:charset w:val="86"/>
    <w:family w:val="auto"/>
    <w:pitch w:val="default"/>
    <w:sig w:usb0="80000287" w:usb1="280F3C52" w:usb2="00000016" w:usb3="00000000" w:csb0="0004001F" w:csb1="00000000"/>
  </w:font>
  <w:font w:name="Calibri">
    <w:panose1 w:val="020F0502020204030204"/>
    <w:charset w:val="00"/>
    <w:family w:val="auto"/>
    <w:pitch w:val="default"/>
    <w:sig w:usb0="E10002FF" w:usb1="4000ACFF" w:usb2="00000009"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Cambria">
    <w:panose1 w:val="02040503050406030204"/>
    <w:charset w:val="00"/>
    <w:family w:val="auto"/>
    <w:pitch w:val="default"/>
    <w:sig w:usb0="E00002FF" w:usb1="400004FF" w:usb2="00000000" w:usb3="00000000" w:csb0="2000019F" w:csb1="00000000"/>
  </w:font>
  <w:font w:name="等线 Light">
    <w:altName w:val="宋体"/>
    <w:panose1 w:val="02010600030101010101"/>
    <w:charset w:val="86"/>
    <w:family w:val="auto"/>
    <w:pitch w:val="default"/>
    <w:sig w:usb0="00000000" w:usb1="00000000" w:usb2="00000016" w:usb3="00000000" w:csb0="0004000F" w:csb1="00000000"/>
  </w:font>
  <w:font w:name="仿宋">
    <w:altName w:val="仿宋_GB2312"/>
    <w:panose1 w:val="02010609060101010101"/>
    <w:charset w:val="86"/>
    <w:family w:val="auto"/>
    <w:pitch w:val="default"/>
    <w:sig w:usb0="800002BF" w:usb1="38CF7CFA" w:usb2="00000016" w:usb3="00000000" w:csb0="00040001" w:csb1="00000000"/>
  </w:font>
  <w:font w:name="楷体">
    <w:altName w:val="楷体_GB2312"/>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0"/>
      <w:tabs>
        <w:tab w:val="center" w:pos="4535"/>
        <w:tab w:val="clear" w:pos="4153"/>
        <w:tab w:val="clear" w:pos="8306"/>
      </w:tabs>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1"/>
      <w:pBdr>
        <w:bottom w:val="none" w:color="auto" w:sz="0" w:space="0"/>
      </w:pBdr>
      <w:tabs>
        <w:tab w:val="left" w:pos="5086"/>
        <w:tab w:val="clear" w:pos="4153"/>
      </w:tabs>
      <w:jc w:val="both"/>
    </w:pPr>
    <w:r>
      <w:rPr>
        <w:rFonts w:hint="eastAsia"/>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560988198">
    <w:nsid w:val="21700026"/>
    <w:multiLevelType w:val="multilevel"/>
    <w:tmpl w:val="21700026"/>
    <w:lvl w:ilvl="0" w:tentative="1">
      <w:start w:val="1"/>
      <w:numFmt w:val="japaneseCounting"/>
      <w:pStyle w:val="27"/>
      <w:lvlText w:val="(%1)"/>
      <w:lvlJc w:val="left"/>
      <w:pPr>
        <w:ind w:left="1996" w:hanging="720"/>
      </w:pPr>
    </w:lvl>
    <w:lvl w:ilvl="1" w:tentative="1">
      <w:start w:val="1"/>
      <w:numFmt w:val="decimal"/>
      <w:lvlText w:val="%2."/>
      <w:lvlJc w:val="left"/>
      <w:pPr>
        <w:tabs>
          <w:tab w:val="left" w:pos="1723"/>
        </w:tabs>
        <w:ind w:left="1723" w:hanging="360"/>
      </w:pPr>
    </w:lvl>
    <w:lvl w:ilvl="2" w:tentative="1">
      <w:start w:val="1"/>
      <w:numFmt w:val="decimal"/>
      <w:lvlText w:val="%3."/>
      <w:lvlJc w:val="left"/>
      <w:pPr>
        <w:tabs>
          <w:tab w:val="left" w:pos="2443"/>
        </w:tabs>
        <w:ind w:left="2443" w:hanging="360"/>
      </w:pPr>
    </w:lvl>
    <w:lvl w:ilvl="3" w:tentative="1">
      <w:start w:val="1"/>
      <w:numFmt w:val="decimal"/>
      <w:lvlText w:val="%4."/>
      <w:lvlJc w:val="left"/>
      <w:pPr>
        <w:tabs>
          <w:tab w:val="left" w:pos="3163"/>
        </w:tabs>
        <w:ind w:left="3163" w:hanging="360"/>
      </w:pPr>
    </w:lvl>
    <w:lvl w:ilvl="4" w:tentative="1">
      <w:start w:val="1"/>
      <w:numFmt w:val="decimal"/>
      <w:lvlText w:val="%5."/>
      <w:lvlJc w:val="left"/>
      <w:pPr>
        <w:tabs>
          <w:tab w:val="left" w:pos="3883"/>
        </w:tabs>
        <w:ind w:left="3883" w:hanging="360"/>
      </w:pPr>
    </w:lvl>
    <w:lvl w:ilvl="5" w:tentative="1">
      <w:start w:val="1"/>
      <w:numFmt w:val="decimal"/>
      <w:lvlText w:val="%6."/>
      <w:lvlJc w:val="left"/>
      <w:pPr>
        <w:tabs>
          <w:tab w:val="left" w:pos="4603"/>
        </w:tabs>
        <w:ind w:left="4603" w:hanging="360"/>
      </w:pPr>
    </w:lvl>
    <w:lvl w:ilvl="6" w:tentative="1">
      <w:start w:val="1"/>
      <w:numFmt w:val="decimal"/>
      <w:lvlText w:val="%7."/>
      <w:lvlJc w:val="left"/>
      <w:pPr>
        <w:tabs>
          <w:tab w:val="left" w:pos="5323"/>
        </w:tabs>
        <w:ind w:left="5323" w:hanging="360"/>
      </w:pPr>
    </w:lvl>
    <w:lvl w:ilvl="7" w:tentative="1">
      <w:start w:val="1"/>
      <w:numFmt w:val="decimal"/>
      <w:lvlText w:val="%8."/>
      <w:lvlJc w:val="left"/>
      <w:pPr>
        <w:tabs>
          <w:tab w:val="left" w:pos="6043"/>
        </w:tabs>
        <w:ind w:left="6043" w:hanging="360"/>
      </w:pPr>
    </w:lvl>
    <w:lvl w:ilvl="8" w:tentative="1">
      <w:start w:val="1"/>
      <w:numFmt w:val="decimal"/>
      <w:lvlText w:val="%9."/>
      <w:lvlJc w:val="left"/>
      <w:pPr>
        <w:tabs>
          <w:tab w:val="left" w:pos="6763"/>
        </w:tabs>
        <w:ind w:left="6763" w:hanging="360"/>
      </w:pPr>
    </w:lvl>
  </w:abstractNum>
  <w:num w:numId="1">
    <w:abstractNumId w:val="56098819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latentStyles w:count="156"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1"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1"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1" w:semiHidden="0"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nhideWhenUsed="0" w:uiPriority="0" w:semiHidden="0" w:name="Body Text Indent 3"/>
    <w:lsdException w:uiPriority="99" w:name="Block Text"/>
    <w:lsdException w:qFormat="1" w:uiPriority="99" w:semiHidden="0"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1" w:name="annotation subject"/>
    <w:lsdException w:qFormat="1" w:unhideWhenUsed="0" w:uiPriority="0" w:semiHidden="0" w:name="Balloon Text"/>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9"/>
    <w:qFormat/>
    <w:uiPriority w:val="0"/>
    <w:pPr>
      <w:keepNext/>
      <w:keepLines/>
      <w:spacing w:before="340" w:after="330" w:line="576" w:lineRule="auto"/>
      <w:outlineLvl w:val="0"/>
    </w:pPr>
    <w:rPr>
      <w:b/>
      <w:kern w:val="44"/>
      <w:sz w:val="44"/>
      <w:szCs w:val="20"/>
    </w:rPr>
  </w:style>
  <w:style w:type="paragraph" w:styleId="3">
    <w:name w:val="heading 2"/>
    <w:basedOn w:val="1"/>
    <w:next w:val="1"/>
    <w:link w:val="30"/>
    <w:qFormat/>
    <w:uiPriority w:val="0"/>
    <w:pPr>
      <w:keepNext/>
      <w:keepLines/>
      <w:spacing w:before="260" w:after="260" w:line="413" w:lineRule="auto"/>
      <w:outlineLvl w:val="1"/>
    </w:pPr>
    <w:rPr>
      <w:rFonts w:ascii="Arial" w:hAnsi="Arial" w:eastAsia="黑体"/>
      <w:b/>
      <w:sz w:val="32"/>
    </w:rPr>
  </w:style>
  <w:style w:type="character" w:default="1" w:styleId="17">
    <w:name w:val="Default Paragraph Font"/>
    <w:semiHidden/>
    <w:unhideWhenUsed/>
    <w:qFormat/>
    <w:uiPriority w:val="1"/>
  </w:style>
  <w:style w:type="paragraph" w:styleId="4">
    <w:name w:val="annotation subject"/>
    <w:basedOn w:val="5"/>
    <w:next w:val="5"/>
    <w:link w:val="49"/>
    <w:semiHidden/>
    <w:unhideWhenUsed/>
    <w:qFormat/>
    <w:uiPriority w:val="1"/>
    <w:rPr>
      <w:b/>
      <w:bCs/>
    </w:rPr>
  </w:style>
  <w:style w:type="paragraph" w:styleId="5">
    <w:name w:val="annotation text"/>
    <w:basedOn w:val="1"/>
    <w:link w:val="48"/>
    <w:semiHidden/>
    <w:unhideWhenUsed/>
    <w:qFormat/>
    <w:uiPriority w:val="1"/>
    <w:pPr>
      <w:jc w:val="left"/>
    </w:pPr>
  </w:style>
  <w:style w:type="paragraph" w:styleId="6">
    <w:name w:val="Body Text"/>
    <w:basedOn w:val="1"/>
    <w:link w:val="45"/>
    <w:qFormat/>
    <w:uiPriority w:val="1"/>
    <w:rPr>
      <w:rFonts w:ascii="宋体" w:hAnsi="宋体" w:cs="宋体"/>
      <w:sz w:val="29"/>
      <w:szCs w:val="29"/>
      <w:lang w:val="zh-CN" w:bidi="zh-CN"/>
    </w:rPr>
  </w:style>
  <w:style w:type="paragraph" w:styleId="7">
    <w:name w:val="Body Text Indent"/>
    <w:basedOn w:val="1"/>
    <w:link w:val="39"/>
    <w:unhideWhenUsed/>
    <w:qFormat/>
    <w:uiPriority w:val="99"/>
    <w:pPr>
      <w:spacing w:after="120"/>
      <w:ind w:left="420" w:leftChars="200"/>
    </w:pPr>
    <w:rPr>
      <w:rFonts w:ascii="等线" w:hAnsi="等线" w:eastAsia="等线" w:cs="黑体"/>
    </w:rPr>
  </w:style>
  <w:style w:type="paragraph" w:styleId="8">
    <w:name w:val="Plain Text"/>
    <w:basedOn w:val="1"/>
    <w:link w:val="43"/>
    <w:qFormat/>
    <w:uiPriority w:val="0"/>
    <w:rPr>
      <w:rFonts w:ascii="宋体" w:hAnsi="Courier New" w:cs="Courier New"/>
      <w:szCs w:val="21"/>
    </w:rPr>
  </w:style>
  <w:style w:type="paragraph" w:styleId="9">
    <w:name w:val="Balloon Text"/>
    <w:basedOn w:val="1"/>
    <w:link w:val="42"/>
    <w:qFormat/>
    <w:uiPriority w:val="0"/>
    <w:rPr>
      <w:sz w:val="18"/>
      <w:szCs w:val="18"/>
    </w:rPr>
  </w:style>
  <w:style w:type="paragraph" w:styleId="10">
    <w:name w:val="footer"/>
    <w:basedOn w:val="1"/>
    <w:link w:val="40"/>
    <w:qFormat/>
    <w:uiPriority w:val="99"/>
    <w:pPr>
      <w:tabs>
        <w:tab w:val="center" w:pos="4153"/>
        <w:tab w:val="right" w:pos="8306"/>
      </w:tabs>
      <w:snapToGrid w:val="0"/>
      <w:jc w:val="left"/>
    </w:pPr>
    <w:rPr>
      <w:sz w:val="18"/>
      <w:szCs w:val="18"/>
    </w:rPr>
  </w:style>
  <w:style w:type="paragraph" w:styleId="11">
    <w:name w:val="header"/>
    <w:basedOn w:val="1"/>
    <w:link w:val="41"/>
    <w:qFormat/>
    <w:uiPriority w:val="0"/>
    <w:pPr>
      <w:pBdr>
        <w:bottom w:val="single" w:color="auto" w:sz="6" w:space="1"/>
      </w:pBdr>
      <w:tabs>
        <w:tab w:val="center" w:pos="4153"/>
        <w:tab w:val="right" w:pos="8306"/>
      </w:tabs>
      <w:snapToGrid w:val="0"/>
      <w:jc w:val="center"/>
    </w:pPr>
    <w:rPr>
      <w:sz w:val="18"/>
      <w:szCs w:val="18"/>
    </w:rPr>
  </w:style>
  <w:style w:type="paragraph" w:styleId="12">
    <w:name w:val="toc 1"/>
    <w:basedOn w:val="1"/>
    <w:next w:val="1"/>
    <w:qFormat/>
    <w:uiPriority w:val="39"/>
  </w:style>
  <w:style w:type="paragraph" w:styleId="13">
    <w:name w:val="Body Text Indent 3"/>
    <w:basedOn w:val="1"/>
    <w:link w:val="31"/>
    <w:qFormat/>
    <w:uiPriority w:val="0"/>
    <w:pPr>
      <w:tabs>
        <w:tab w:val="left" w:pos="1140"/>
      </w:tabs>
      <w:autoSpaceDE w:val="0"/>
      <w:spacing w:line="480" w:lineRule="exact"/>
      <w:ind w:firstLine="518" w:firstLineChars="200"/>
    </w:pPr>
    <w:rPr>
      <w:rFonts w:ascii="宋体" w:hAnsi="宋体" w:eastAsia="等线" w:cs="黑体"/>
      <w:color w:val="FF0000"/>
      <w:sz w:val="28"/>
      <w:szCs w:val="28"/>
    </w:rPr>
  </w:style>
  <w:style w:type="paragraph" w:styleId="14">
    <w:name w:val="toc 2"/>
    <w:basedOn w:val="1"/>
    <w:next w:val="1"/>
    <w:qFormat/>
    <w:uiPriority w:val="39"/>
    <w:pPr>
      <w:ind w:left="420" w:leftChars="200"/>
    </w:pPr>
  </w:style>
  <w:style w:type="paragraph" w:styleId="15">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paragraph" w:styleId="16">
    <w:name w:val="Title"/>
    <w:basedOn w:val="1"/>
    <w:next w:val="1"/>
    <w:link w:val="33"/>
    <w:qFormat/>
    <w:uiPriority w:val="0"/>
    <w:pPr>
      <w:spacing w:before="240" w:after="60"/>
      <w:jc w:val="center"/>
      <w:outlineLvl w:val="0"/>
    </w:pPr>
    <w:rPr>
      <w:rFonts w:ascii="Cambria" w:hAnsi="Cambria" w:eastAsia="等线" w:cs="黑体"/>
      <w:b/>
      <w:bCs/>
      <w:sz w:val="32"/>
      <w:szCs w:val="32"/>
    </w:rPr>
  </w:style>
  <w:style w:type="character" w:styleId="18">
    <w:name w:val="Strong"/>
    <w:qFormat/>
    <w:uiPriority w:val="0"/>
    <w:rPr>
      <w:b/>
    </w:rPr>
  </w:style>
  <w:style w:type="character" w:styleId="19">
    <w:name w:val="page number"/>
    <w:basedOn w:val="17"/>
    <w:qFormat/>
    <w:uiPriority w:val="0"/>
    <w:rPr/>
  </w:style>
  <w:style w:type="character" w:styleId="20">
    <w:name w:val="Hyperlink"/>
    <w:unhideWhenUsed/>
    <w:qFormat/>
    <w:uiPriority w:val="99"/>
    <w:rPr>
      <w:color w:val="0000FF"/>
      <w:u w:val="single"/>
    </w:rPr>
  </w:style>
  <w:style w:type="character" w:styleId="21">
    <w:name w:val="annotation reference"/>
    <w:semiHidden/>
    <w:unhideWhenUsed/>
    <w:qFormat/>
    <w:uiPriority w:val="1"/>
    <w:rPr>
      <w:sz w:val="21"/>
      <w:szCs w:val="21"/>
    </w:rPr>
  </w:style>
  <w:style w:type="paragraph" w:customStyle="1" w:styleId="22">
    <w:name w:val="列表段落1"/>
    <w:basedOn w:val="1"/>
    <w:qFormat/>
    <w:uiPriority w:val="0"/>
    <w:pPr>
      <w:ind w:firstLine="420" w:firstLineChars="200"/>
    </w:pPr>
  </w:style>
  <w:style w:type="paragraph" w:customStyle="1" w:styleId="23">
    <w:name w:val="WPSOffice手动目录 1"/>
    <w:qFormat/>
    <w:uiPriority w:val="0"/>
    <w:rPr>
      <w:rFonts w:ascii="Times New Roman" w:hAnsi="Times New Roman" w:eastAsia="宋体" w:cs="Times New Roman"/>
      <w:kern w:val="0"/>
      <w:sz w:val="20"/>
      <w:szCs w:val="20"/>
      <w:lang w:val="en-US" w:eastAsia="zh-CN" w:bidi="ar-SA"/>
    </w:rPr>
  </w:style>
  <w:style w:type="paragraph" w:customStyle="1" w:styleId="24">
    <w:name w:val="WPSOffice手动目录 3"/>
    <w:qFormat/>
    <w:uiPriority w:val="0"/>
    <w:pPr>
      <w:ind w:left="400" w:leftChars="400"/>
    </w:pPr>
    <w:rPr>
      <w:rFonts w:ascii="Times New Roman" w:hAnsi="Times New Roman" w:eastAsia="宋体" w:cs="Times New Roman"/>
      <w:kern w:val="0"/>
      <w:sz w:val="20"/>
      <w:szCs w:val="20"/>
      <w:lang w:val="en-US" w:eastAsia="zh-CN" w:bidi="ar-SA"/>
    </w:rPr>
  </w:style>
  <w:style w:type="paragraph" w:customStyle="1" w:styleId="25">
    <w:name w:val="WPSOffice手动目录 2"/>
    <w:qFormat/>
    <w:uiPriority w:val="0"/>
    <w:pPr>
      <w:ind w:left="200" w:leftChars="200"/>
    </w:pPr>
    <w:rPr>
      <w:rFonts w:ascii="Times New Roman" w:hAnsi="Times New Roman" w:eastAsia="宋体" w:cs="Times New Roman"/>
      <w:kern w:val="0"/>
      <w:sz w:val="20"/>
      <w:szCs w:val="20"/>
      <w:lang w:val="en-US" w:eastAsia="zh-CN" w:bidi="ar-SA"/>
    </w:rPr>
  </w:style>
  <w:style w:type="paragraph" w:customStyle="1" w:styleId="26">
    <w:name w:val="正文1"/>
    <w:basedOn w:val="1"/>
    <w:link w:val="50"/>
    <w:qFormat/>
    <w:uiPriority w:val="0"/>
    <w:pPr>
      <w:spacing w:line="580" w:lineRule="exact"/>
      <w:ind w:firstLine="200" w:firstLineChars="200"/>
    </w:pPr>
    <w:rPr>
      <w:rFonts w:eastAsia="仿宋"/>
      <w:sz w:val="32"/>
    </w:rPr>
  </w:style>
  <w:style w:type="paragraph" w:customStyle="1" w:styleId="27">
    <w:name w:val="二级标题"/>
    <w:basedOn w:val="1"/>
    <w:link w:val="51"/>
    <w:qFormat/>
    <w:uiPriority w:val="0"/>
    <w:pPr>
      <w:numPr>
        <w:ilvl w:val="0"/>
        <w:numId w:val="1"/>
      </w:numPr>
    </w:pPr>
    <w:rPr>
      <w:rFonts w:ascii="楷体" w:hAnsi="楷体" w:eastAsia="楷体"/>
      <w:b/>
      <w:bCs/>
      <w:sz w:val="32"/>
      <w:szCs w:val="32"/>
    </w:rPr>
  </w:style>
  <w:style w:type="paragraph" w:customStyle="1" w:styleId="28">
    <w:name w:val="三级标题"/>
    <w:basedOn w:val="1"/>
    <w:link w:val="52"/>
    <w:qFormat/>
    <w:uiPriority w:val="0"/>
    <w:pPr>
      <w:spacing w:line="580" w:lineRule="exact"/>
      <w:ind w:firstLine="643" w:firstLineChars="200"/>
      <w:jc w:val="left"/>
    </w:pPr>
    <w:rPr>
      <w:rFonts w:ascii="仿宋" w:hAnsi="仿宋" w:eastAsia="仿宋"/>
      <w:b/>
      <w:bCs/>
      <w:sz w:val="32"/>
      <w:szCs w:val="32"/>
    </w:rPr>
  </w:style>
  <w:style w:type="character" w:customStyle="1" w:styleId="29">
    <w:name w:val="标题 1 字符"/>
    <w:basedOn w:val="17"/>
    <w:link w:val="2"/>
    <w:qFormat/>
    <w:uiPriority w:val="0"/>
    <w:rPr>
      <w:rFonts w:ascii="Times New Roman" w:hAnsi="Times New Roman" w:eastAsia="宋体" w:cs="Times New Roman"/>
      <w:b/>
      <w:kern w:val="44"/>
      <w:sz w:val="44"/>
      <w:szCs w:val="20"/>
    </w:rPr>
  </w:style>
  <w:style w:type="character" w:customStyle="1" w:styleId="30">
    <w:name w:val="标题 2 字符"/>
    <w:basedOn w:val="17"/>
    <w:link w:val="3"/>
    <w:qFormat/>
    <w:uiPriority w:val="0"/>
    <w:rPr>
      <w:rFonts w:ascii="Arial" w:hAnsi="Arial" w:eastAsia="黑体" w:cs="Times New Roman"/>
      <w:b/>
      <w:sz w:val="32"/>
      <w:szCs w:val="24"/>
    </w:rPr>
  </w:style>
  <w:style w:type="character" w:customStyle="1" w:styleId="31">
    <w:name w:val="正文文本缩进 3 字符"/>
    <w:link w:val="13"/>
    <w:qFormat/>
    <w:uiPriority w:val="0"/>
    <w:rPr>
      <w:rFonts w:ascii="宋体" w:hAnsi="宋体"/>
      <w:color w:val="FF0000"/>
      <w:sz w:val="28"/>
      <w:szCs w:val="28"/>
    </w:rPr>
  </w:style>
  <w:style w:type="character" w:customStyle="1" w:styleId="32">
    <w:name w:val="font11"/>
    <w:qFormat/>
    <w:uiPriority w:val="0"/>
    <w:rPr>
      <w:rFonts w:hint="eastAsia" w:ascii="宋体" w:hAnsi="宋体" w:eastAsia="宋体" w:cs="宋体"/>
      <w:color w:val="000000"/>
      <w:sz w:val="20"/>
      <w:szCs w:val="20"/>
      <w:u w:val="none"/>
    </w:rPr>
  </w:style>
  <w:style w:type="character" w:customStyle="1" w:styleId="33">
    <w:name w:val="标题 字符"/>
    <w:link w:val="16"/>
    <w:qFormat/>
    <w:uiPriority w:val="0"/>
    <w:rPr>
      <w:rFonts w:ascii="Cambria" w:hAnsi="Cambria"/>
      <w:b/>
      <w:bCs/>
      <w:sz w:val="32"/>
      <w:szCs w:val="32"/>
    </w:rPr>
  </w:style>
  <w:style w:type="character" w:customStyle="1" w:styleId="34">
    <w:name w:val="font41"/>
    <w:qFormat/>
    <w:uiPriority w:val="0"/>
    <w:rPr>
      <w:rFonts w:hint="default" w:ascii="Times New Roman" w:hAnsi="Times New Roman" w:cs="Times New Roman"/>
      <w:color w:val="000000"/>
      <w:sz w:val="21"/>
      <w:szCs w:val="21"/>
      <w:u w:val="none"/>
    </w:rPr>
  </w:style>
  <w:style w:type="character" w:customStyle="1" w:styleId="35">
    <w:name w:val="font51"/>
    <w:qFormat/>
    <w:uiPriority w:val="0"/>
    <w:rPr>
      <w:rFonts w:hint="eastAsia" w:ascii="宋体" w:hAnsi="宋体" w:eastAsia="宋体" w:cs="宋体"/>
      <w:color w:val="000000"/>
      <w:sz w:val="22"/>
      <w:szCs w:val="22"/>
      <w:u w:val="none"/>
    </w:rPr>
  </w:style>
  <w:style w:type="character" w:customStyle="1" w:styleId="36">
    <w:name w:val="font21"/>
    <w:qFormat/>
    <w:uiPriority w:val="0"/>
    <w:rPr>
      <w:rFonts w:hint="eastAsia" w:ascii="宋体" w:hAnsi="宋体" w:eastAsia="宋体" w:cs="宋体"/>
      <w:color w:val="000000"/>
      <w:sz w:val="20"/>
      <w:szCs w:val="20"/>
    </w:rPr>
  </w:style>
  <w:style w:type="character" w:customStyle="1" w:styleId="37">
    <w:name w:val="font31"/>
    <w:qFormat/>
    <w:uiPriority w:val="0"/>
    <w:rPr>
      <w:rFonts w:hint="eastAsia" w:ascii="宋体" w:hAnsi="宋体" w:eastAsia="宋体" w:cs="宋体"/>
      <w:color w:val="000000"/>
      <w:sz w:val="21"/>
      <w:szCs w:val="21"/>
      <w:u w:val="none"/>
    </w:rPr>
  </w:style>
  <w:style w:type="character" w:customStyle="1" w:styleId="38">
    <w:name w:val="font01"/>
    <w:qFormat/>
    <w:uiPriority w:val="0"/>
    <w:rPr>
      <w:rFonts w:hint="eastAsia" w:ascii="宋体" w:hAnsi="宋体" w:eastAsia="宋体" w:cs="宋体"/>
      <w:color w:val="000000"/>
      <w:sz w:val="20"/>
      <w:szCs w:val="20"/>
    </w:rPr>
  </w:style>
  <w:style w:type="character" w:customStyle="1" w:styleId="39">
    <w:name w:val="正文文本缩进 字符"/>
    <w:link w:val="7"/>
    <w:qFormat/>
    <w:uiPriority w:val="99"/>
    <w:rPr>
      <w:szCs w:val="24"/>
    </w:rPr>
  </w:style>
  <w:style w:type="character" w:customStyle="1" w:styleId="40">
    <w:name w:val="页脚 字符"/>
    <w:basedOn w:val="17"/>
    <w:link w:val="10"/>
    <w:qFormat/>
    <w:uiPriority w:val="99"/>
    <w:rPr>
      <w:rFonts w:ascii="Times New Roman" w:hAnsi="Times New Roman" w:eastAsia="宋体" w:cs="Times New Roman"/>
      <w:sz w:val="18"/>
      <w:szCs w:val="18"/>
    </w:rPr>
  </w:style>
  <w:style w:type="character" w:customStyle="1" w:styleId="41">
    <w:name w:val="页眉 字符"/>
    <w:basedOn w:val="17"/>
    <w:link w:val="11"/>
    <w:qFormat/>
    <w:uiPriority w:val="0"/>
    <w:rPr>
      <w:rFonts w:ascii="Times New Roman" w:hAnsi="Times New Roman" w:eastAsia="宋体" w:cs="Times New Roman"/>
      <w:sz w:val="18"/>
      <w:szCs w:val="18"/>
    </w:rPr>
  </w:style>
  <w:style w:type="character" w:customStyle="1" w:styleId="42">
    <w:name w:val="批注框文本 字符"/>
    <w:basedOn w:val="17"/>
    <w:link w:val="9"/>
    <w:qFormat/>
    <w:uiPriority w:val="0"/>
    <w:rPr>
      <w:rFonts w:ascii="Times New Roman" w:hAnsi="Times New Roman" w:eastAsia="宋体" w:cs="Times New Roman"/>
      <w:sz w:val="18"/>
      <w:szCs w:val="18"/>
    </w:rPr>
  </w:style>
  <w:style w:type="character" w:customStyle="1" w:styleId="43">
    <w:name w:val="纯文本 字符"/>
    <w:basedOn w:val="17"/>
    <w:link w:val="8"/>
    <w:qFormat/>
    <w:uiPriority w:val="0"/>
    <w:rPr>
      <w:rFonts w:ascii="宋体" w:hAnsi="Courier New" w:eastAsia="宋体" w:cs="Courier New"/>
      <w:szCs w:val="21"/>
    </w:rPr>
  </w:style>
  <w:style w:type="character" w:customStyle="1" w:styleId="44">
    <w:name w:val="正文文本缩进 字符1"/>
    <w:basedOn w:val="17"/>
    <w:semiHidden/>
    <w:qFormat/>
    <w:uiPriority w:val="99"/>
    <w:rPr>
      <w:rFonts w:ascii="Times New Roman" w:hAnsi="Times New Roman" w:eastAsia="宋体" w:cs="Times New Roman"/>
      <w:szCs w:val="24"/>
    </w:rPr>
  </w:style>
  <w:style w:type="character" w:customStyle="1" w:styleId="45">
    <w:name w:val="正文文本 字符"/>
    <w:basedOn w:val="17"/>
    <w:link w:val="6"/>
    <w:qFormat/>
    <w:uiPriority w:val="1"/>
    <w:rPr>
      <w:rFonts w:ascii="宋体" w:hAnsi="宋体" w:eastAsia="宋体" w:cs="宋体"/>
      <w:sz w:val="29"/>
      <w:szCs w:val="29"/>
      <w:lang w:val="zh-CN" w:bidi="zh-CN"/>
    </w:rPr>
  </w:style>
  <w:style w:type="character" w:customStyle="1" w:styleId="46">
    <w:name w:val="正文文本缩进 3 字符1"/>
    <w:basedOn w:val="17"/>
    <w:semiHidden/>
    <w:qFormat/>
    <w:uiPriority w:val="99"/>
    <w:rPr>
      <w:rFonts w:ascii="Times New Roman" w:hAnsi="Times New Roman" w:eastAsia="宋体" w:cs="Times New Roman"/>
      <w:sz w:val="16"/>
      <w:szCs w:val="16"/>
    </w:rPr>
  </w:style>
  <w:style w:type="character" w:customStyle="1" w:styleId="47">
    <w:name w:val="标题 字符1"/>
    <w:basedOn w:val="17"/>
    <w:qFormat/>
    <w:uiPriority w:val="10"/>
    <w:rPr>
      <w:rFonts w:ascii="等线 Light" w:hAnsi="等线 Light" w:eastAsia="等线 Light" w:cs="黑体"/>
      <w:b/>
      <w:bCs/>
      <w:sz w:val="32"/>
      <w:szCs w:val="32"/>
    </w:rPr>
  </w:style>
  <w:style w:type="character" w:customStyle="1" w:styleId="48">
    <w:name w:val="批注文字 字符"/>
    <w:basedOn w:val="17"/>
    <w:link w:val="5"/>
    <w:semiHidden/>
    <w:qFormat/>
    <w:uiPriority w:val="1"/>
    <w:rPr>
      <w:rFonts w:ascii="Times New Roman" w:hAnsi="Times New Roman" w:eastAsia="宋体" w:cs="Times New Roman"/>
      <w:szCs w:val="24"/>
    </w:rPr>
  </w:style>
  <w:style w:type="character" w:customStyle="1" w:styleId="49">
    <w:name w:val="批注主题 字符"/>
    <w:basedOn w:val="48"/>
    <w:link w:val="4"/>
    <w:semiHidden/>
    <w:qFormat/>
    <w:uiPriority w:val="1"/>
    <w:rPr>
      <w:rFonts w:ascii="Times New Roman" w:hAnsi="Times New Roman" w:eastAsia="宋体" w:cs="Times New Roman"/>
      <w:b/>
      <w:bCs/>
      <w:szCs w:val="24"/>
    </w:rPr>
  </w:style>
  <w:style w:type="character" w:customStyle="1" w:styleId="50">
    <w:name w:val="正文1 Char"/>
    <w:basedOn w:val="17"/>
    <w:link w:val="26"/>
    <w:qFormat/>
    <w:uiPriority w:val="0"/>
    <w:rPr>
      <w:rFonts w:ascii="Times New Roman" w:hAnsi="Times New Roman" w:eastAsia="仿宋" w:cs="Times New Roman"/>
      <w:sz w:val="32"/>
      <w:szCs w:val="24"/>
    </w:rPr>
  </w:style>
  <w:style w:type="character" w:customStyle="1" w:styleId="51">
    <w:name w:val="二级标题 Char"/>
    <w:basedOn w:val="17"/>
    <w:link w:val="27"/>
    <w:qFormat/>
    <w:uiPriority w:val="0"/>
    <w:rPr>
      <w:rFonts w:ascii="楷体" w:hAnsi="楷体" w:eastAsia="楷体" w:cs="Times New Roman"/>
      <w:b/>
      <w:bCs/>
      <w:sz w:val="32"/>
      <w:szCs w:val="32"/>
    </w:rPr>
  </w:style>
  <w:style w:type="character" w:customStyle="1" w:styleId="52">
    <w:name w:val="三级标题 Char"/>
    <w:basedOn w:val="17"/>
    <w:link w:val="28"/>
    <w:qFormat/>
    <w:uiPriority w:val="0"/>
    <w:rPr>
      <w:rFonts w:ascii="仿宋" w:hAnsi="仿宋" w:eastAsia="仿宋" w:cs="Times New Roman"/>
      <w:b/>
      <w:bCs/>
      <w:sz w:val="32"/>
      <w:szCs w:val="32"/>
    </w:rPr>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header" Target="header1.xml"/><Relationship Id="rId5" Type="http://schemas.openxmlformats.org/officeDocument/2006/relationships/footer" Target="footer1.xml"/><Relationship Id="rId6" Type="http://schemas.openxmlformats.org/officeDocument/2006/relationships/theme" Target="theme/theme1.xml"/><Relationship Id="rId7" Type="http://schemas.openxmlformats.org/officeDocument/2006/relationships/customXml" Target="../customXml/item1.xml"/><Relationship Id="rId8" Type="http://schemas.openxmlformats.org/officeDocument/2006/relationships/numbering" Target="numbering.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8</Pages>
  <Words>522</Words>
  <Characters>2979</Characters>
  <Lines>24</Lines>
  <Paragraphs>6</Paragraphs>
  <ScaleCrop>false</ScaleCrop>
  <LinksUpToDate>false</LinksUpToDate>
  <CharactersWithSpaces>0</CharactersWithSpaces>
  <Application>WPS Office 专业版_9.1.0.4472_{F1E327BC-269C-435d-A152-05C5408002CA}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2020-04-03T04:25:00Z</dcterms:created>
  <dc:creator>亚 亚</dc:creator>
  <cp:lastModifiedBy>Administrator</cp:lastModifiedBy>
  <dcterms:modified xsi:type="dcterms:W3CDTF">2020-06-01T06:50:19Z</dcterms:modified>
  <dc:title>石家庄市中级人民法院</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2052-9.1.0.4472</vt:lpwstr>
  </property>
</Properties>
</file>