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晋州市人民检察院部门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晋州市人民检察院2023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1.部门职能</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根据《晋州市人民检察院职能配置、内设机构和人员编制规定》，晋州市人民检察院的主要职责是：</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（1）深入贯彻习近平新时代中国特色社会主义思想，深入贯彻党的路线方针和决策部署，坚持党对检察工作的绝对领导，坚决维护习近平总书记的核心地位，坚决维护党中央权威和集中统一领导。</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（2）依法向区人民代表大会及其常务委员会提出议案。</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（3）贯彻落实检察工作方针、总体规划，研究制定检察工作计划并组织实施。</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（4）依照法律规定对直接受理的刑事案件行使侦查权。</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（5）负责对管辖的各类刑事案件依法审查批准逮捕、决定逮捕、提起公诉。</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（6）负责应由本院承办的刑事、民事、行政诉讼活动及刑事、民事、行政判决和裁定等生效法律文书执行的法律监督工作。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（7）负责应由本院承办的提起公益诉讼工作。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（8）依法受理核准追诉案件，审查是否上报。</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（9）负责应由本院承办的对看守所、社区矫正等执法活动的法律监督工作。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（10）受理向本院的控告申诉。</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（11）组织检察工作中法律政策具体应用问题的研究；组织开展检察理论研究工作。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（12）负责检察人员思想政治教育和业务培训工作；按照权限管理检察官和其他工作人员。</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（13）负责本院检务督察工作。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（14）负责本院检务保障以及检察技术、信息化建设工作。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（15）完成其他应当由本院负责的工作。</w:t>
      </w:r>
    </w:p>
    <w:p>
      <w:pPr>
        <w:pStyle w:val="6"/>
        <w:keepNext w:val="0"/>
        <w:keepLines w:val="0"/>
        <w:pageBreakBefore w:val="0"/>
        <w:widowControl w:val="0"/>
        <w:kinsoku/>
        <w:wordWrap/>
        <w:overflowPunct/>
        <w:topLinePunct w:val="0"/>
        <w:autoSpaceDE/>
        <w:autoSpaceDN/>
        <w:bidi w:val="0"/>
        <w:spacing w:line="560" w:lineRule="exact"/>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2.组织机构及人员情况</w:t>
      </w:r>
    </w:p>
    <w:p>
      <w:pPr>
        <w:pStyle w:val="6"/>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晋州市人民检察院设下列内设机构：</w:t>
      </w:r>
    </w:p>
    <w:p>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办公室。负责日常政务、办理文电、会务、机要、文秘、档案、保密、检务公开等工作；协调督办上级重要工作、批办事项；负责人大代表联络及管理检务协作、经费资产、基础建设、科技装备、交通工具、接待、后勤服务、检察技术、信息化建设等工作。</w:t>
      </w:r>
    </w:p>
    <w:p>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一检察部。负责刑事犯罪及涉未成年人犯罪案件的审查逮捕、审查起诉，开展相关立案监督、侦查监督、审判监督及相关案件的补充侦查，办理相关刑事申诉案件；负责检察机关社会治安综合治理工作；开展未成年人司法保护和预防未成年人犯罪工作。</w:t>
      </w:r>
    </w:p>
    <w:p>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二检察部。负责对申请监督和提请抗诉的民事、行政案件的审查、抗诉，对区人民法院民事、行政诉讼活动进行监督，对审判监督程序以外的其他民事、行政审判程序中审判人员的违法行为提出检察建议，对民事、行政执行活动实行法律监督。开展民事、行政支持起诉工作，办理民事、行政申诉案件；负责办理生态环境和资源保护、食品药品安全、国有财产保护、国有土地使用权出让等领域的行政公益诉讼案件，侵害英雄烈士姓名、肖像、名誉、荣誉的公益诉讼案件；负责对区人民法院开庭审理的公益诉讼案件派员出席法庭，依照有关规定提出检察建议。办理公益诉讼申诉案件。</w:t>
      </w:r>
    </w:p>
    <w:p>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第三检察部。负责对看守所和社区矫正等执法活动监督，对法律规定的司法工作人员利用职权实施的非法拘禁、刑讯逼供、非法搜查等侵犯公民权利、损害司法公正犯罪的侦查。负责案件受理流转、办案流程监控、涉案财物监管、法律文书监管、案件信息公开、案件质量评查、业务考评和统计分析；负责人民监督员工作及业务应用系统的应用。负责检察调研及理论研究，司法体制改革综合协调工作；承办本院检察委员会日常工作。受理控告、申诉、信访；承办国家赔偿案件和国家司法救助案件；负责接待群众来访、处理群众来信（含电、网等）事项。</w:t>
      </w:r>
    </w:p>
    <w:p>
      <w:pPr>
        <w:pStyle w:val="6"/>
        <w:keepNext w:val="0"/>
        <w:keepLines w:val="0"/>
        <w:pageBreakBefore w:val="0"/>
        <w:widowControl w:val="0"/>
        <w:numPr>
          <w:ilvl w:val="0"/>
          <w:numId w:val="1"/>
        </w:numPr>
        <w:kinsoku/>
        <w:wordWrap/>
        <w:overflowPunct/>
        <w:topLinePunct w:val="0"/>
        <w:autoSpaceDE/>
        <w:autoSpaceDN/>
        <w:bidi w:val="0"/>
        <w:spacing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政治部（司法警察大队）。负责干部人事、教育培训、检察宣传、表彰奖励、舆情应对、党建群团、党风廉政、检务督察、离退休等工作。负责司法警务工作；负责提押、看管、送达等工作，配合检察监督事项。</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政法专项编制47名，实有46名。设检察长1名，副检察长2名，政治部主任1名（副科长级），检察委员会专职委员2名（副科长级）；内设机构股级领导职数6正3副。</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640" w:firstLineChars="20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3.资产情况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rPr>
      </w:pPr>
      <w:r>
        <w:rPr>
          <w:rFonts w:hint="eastAsia" w:ascii="仿宋" w:hAnsi="仿宋" w:eastAsia="仿宋" w:cs="黑体"/>
          <w:kern w:val="2"/>
          <w:sz w:val="32"/>
          <w:szCs w:val="32"/>
          <w:lang w:val="en-US" w:eastAsia="zh-CN" w:bidi="ar-SA"/>
        </w:rPr>
        <w:t>2023年末固定资产总量为</w:t>
      </w:r>
      <w:r>
        <w:rPr>
          <w:rFonts w:hint="eastAsia" w:ascii="宋体" w:hAnsi="宋体" w:eastAsia="宋体" w:cs="宋体"/>
          <w:kern w:val="0"/>
          <w:sz w:val="27"/>
          <w:szCs w:val="27"/>
        </w:rPr>
        <w:t>2197.16</w:t>
      </w:r>
      <w:r>
        <w:rPr>
          <w:rFonts w:hint="eastAsia" w:ascii="仿宋" w:hAnsi="仿宋" w:eastAsia="仿宋" w:cs="黑体"/>
          <w:kern w:val="2"/>
          <w:sz w:val="32"/>
          <w:szCs w:val="32"/>
          <w:lang w:val="en-US" w:eastAsia="zh-CN" w:bidi="ar-SA"/>
        </w:rPr>
        <w:t>万元。</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widowControl/>
        <w:suppressLineNumbers w:val="0"/>
        <w:ind w:firstLine="640" w:firstLineChars="200"/>
        <w:jc w:val="left"/>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rPr>
        <w:t>我院202</w:t>
      </w:r>
      <w:r>
        <w:rPr>
          <w:rFonts w:hint="eastAsia" w:ascii="仿宋_GB2312" w:hAnsi="仿宋" w:eastAsia="仿宋_GB2312" w:cs="仿宋"/>
          <w:color w:val="auto"/>
          <w:sz w:val="32"/>
          <w:szCs w:val="32"/>
          <w:lang w:val="en-US" w:eastAsia="zh-CN"/>
        </w:rPr>
        <w:t>3</w:t>
      </w:r>
      <w:r>
        <w:rPr>
          <w:rFonts w:hint="eastAsia" w:ascii="仿宋_GB2312" w:hAnsi="仿宋" w:eastAsia="仿宋_GB2312" w:cs="仿宋"/>
          <w:color w:val="auto"/>
          <w:sz w:val="32"/>
          <w:szCs w:val="32"/>
        </w:rPr>
        <w:t>年预算</w:t>
      </w:r>
      <w:r>
        <w:rPr>
          <w:rFonts w:hint="eastAsia" w:ascii="仿宋_GB2312" w:hAnsi="仿宋" w:eastAsia="仿宋_GB2312" w:cs="仿宋"/>
          <w:color w:val="auto"/>
          <w:sz w:val="32"/>
          <w:szCs w:val="32"/>
          <w:lang w:eastAsia="zh-CN"/>
        </w:rPr>
        <w:t>收入</w:t>
      </w:r>
      <w:r>
        <w:rPr>
          <w:rFonts w:hint="eastAsia" w:ascii="仿宋_GB2312" w:hAnsi="仿宋" w:eastAsia="仿宋_GB2312" w:cs="仿宋"/>
          <w:color w:val="auto"/>
          <w:sz w:val="32"/>
          <w:szCs w:val="32"/>
        </w:rPr>
        <w:t>为</w:t>
      </w:r>
      <w:r>
        <w:rPr>
          <w:rFonts w:hint="eastAsia" w:ascii="仿宋_GB2312" w:hAnsi="仿宋" w:eastAsia="仿宋_GB2312" w:cs="仿宋"/>
          <w:color w:val="auto"/>
          <w:sz w:val="32"/>
          <w:szCs w:val="32"/>
          <w:lang w:val="en-US" w:eastAsia="zh-CN"/>
        </w:rPr>
        <w:t>1242.28</w:t>
      </w:r>
      <w:r>
        <w:rPr>
          <w:rFonts w:hint="eastAsia" w:ascii="仿宋_GB2312" w:hAnsi="仿宋" w:eastAsia="仿宋_GB2312" w:cs="仿宋"/>
          <w:color w:val="auto"/>
          <w:sz w:val="32"/>
          <w:szCs w:val="32"/>
        </w:rPr>
        <w:t>万元，其中财政拨款</w:t>
      </w:r>
      <w:r>
        <w:rPr>
          <w:rFonts w:hint="eastAsia" w:ascii="仿宋_GB2312" w:hAnsi="仿宋" w:eastAsia="仿宋_GB2312" w:cs="仿宋"/>
          <w:color w:val="auto"/>
          <w:sz w:val="32"/>
          <w:szCs w:val="32"/>
          <w:lang w:val="en-US" w:eastAsia="zh-CN"/>
        </w:rPr>
        <w:t>1242.28</w:t>
      </w:r>
      <w:r>
        <w:rPr>
          <w:rFonts w:hint="eastAsia" w:ascii="仿宋_GB2312" w:hAnsi="仿宋" w:eastAsia="仿宋_GB2312" w:cs="仿宋"/>
          <w:color w:val="auto"/>
          <w:sz w:val="32"/>
          <w:szCs w:val="32"/>
        </w:rPr>
        <w:t>万元，占总预算的100%。整体预算中，人员经费预算</w:t>
      </w:r>
      <w:r>
        <w:rPr>
          <w:rFonts w:hint="eastAsia" w:ascii="仿宋_GB2312" w:hAnsi="仿宋" w:eastAsia="仿宋_GB2312" w:cs="仿宋"/>
          <w:color w:val="auto"/>
          <w:sz w:val="32"/>
          <w:szCs w:val="32"/>
          <w:lang w:val="en-US" w:eastAsia="zh-CN"/>
        </w:rPr>
        <w:t>839</w:t>
      </w:r>
      <w:r>
        <w:rPr>
          <w:rFonts w:hint="eastAsia" w:ascii="仿宋_GB2312" w:hAnsi="仿宋" w:eastAsia="仿宋_GB2312" w:cs="仿宋"/>
          <w:color w:val="auto"/>
          <w:sz w:val="32"/>
          <w:szCs w:val="32"/>
        </w:rPr>
        <w:t>万元，日常公用经费预算</w:t>
      </w:r>
      <w:r>
        <w:rPr>
          <w:rFonts w:hint="eastAsia" w:ascii="仿宋_GB2312" w:hAnsi="仿宋" w:eastAsia="仿宋_GB2312" w:cs="仿宋"/>
          <w:color w:val="auto"/>
          <w:sz w:val="32"/>
          <w:szCs w:val="32"/>
          <w:lang w:val="en-US" w:eastAsia="zh-CN"/>
        </w:rPr>
        <w:t>219.36</w:t>
      </w:r>
      <w:r>
        <w:rPr>
          <w:rFonts w:hint="eastAsia" w:ascii="仿宋_GB2312" w:hAnsi="仿宋" w:eastAsia="仿宋_GB2312" w:cs="仿宋"/>
          <w:color w:val="auto"/>
          <w:sz w:val="32"/>
          <w:szCs w:val="32"/>
        </w:rPr>
        <w:t>万元（包含“三公经费”预算</w:t>
      </w:r>
      <w:r>
        <w:rPr>
          <w:rFonts w:hint="eastAsia" w:ascii="仿宋_GB2312" w:hAnsi="仿宋" w:eastAsia="仿宋_GB2312" w:cs="仿宋"/>
          <w:color w:val="auto"/>
          <w:sz w:val="32"/>
          <w:szCs w:val="32"/>
          <w:lang w:val="en-US" w:eastAsia="zh-CN"/>
        </w:rPr>
        <w:t>9.2</w:t>
      </w:r>
      <w:r>
        <w:rPr>
          <w:rFonts w:hint="eastAsia" w:ascii="仿宋_GB2312" w:hAnsi="仿宋" w:eastAsia="仿宋_GB2312" w:cs="仿宋"/>
          <w:color w:val="auto"/>
          <w:sz w:val="32"/>
          <w:szCs w:val="32"/>
        </w:rPr>
        <w:t>万元），项目经费预算</w:t>
      </w:r>
      <w:r>
        <w:rPr>
          <w:rFonts w:hint="eastAsia" w:ascii="仿宋_GB2312" w:hAnsi="仿宋" w:eastAsia="仿宋_GB2312" w:cs="仿宋"/>
          <w:color w:val="auto"/>
          <w:sz w:val="32"/>
          <w:szCs w:val="32"/>
          <w:lang w:val="en-US" w:eastAsia="zh-CN"/>
        </w:rPr>
        <w:t>183.92</w:t>
      </w:r>
      <w:r>
        <w:rPr>
          <w:rFonts w:hint="eastAsia" w:ascii="仿宋_GB2312" w:hAnsi="仿宋" w:eastAsia="仿宋_GB2312" w:cs="仿宋"/>
          <w:color w:val="auto"/>
          <w:sz w:val="32"/>
          <w:szCs w:val="32"/>
        </w:rPr>
        <w:t>万元。</w:t>
      </w:r>
    </w:p>
    <w:p>
      <w:pPr>
        <w:spacing w:line="560" w:lineRule="exact"/>
        <w:ind w:firstLine="640"/>
        <w:rPr>
          <w:rFonts w:ascii="仿宋" w:hAnsi="仿宋" w:eastAsia="仿宋"/>
          <w:color w:val="auto"/>
          <w:sz w:val="32"/>
          <w:szCs w:val="32"/>
        </w:rPr>
      </w:pPr>
      <w:r>
        <w:rPr>
          <w:rFonts w:hint="eastAsia" w:ascii="仿宋_GB2312" w:hAnsi="仿宋" w:eastAsia="仿宋_GB2312" w:cs="仿宋"/>
          <w:color w:val="auto"/>
          <w:sz w:val="32"/>
          <w:szCs w:val="32"/>
        </w:rPr>
        <w:t>1.基本支出情况</w:t>
      </w:r>
    </w:p>
    <w:p>
      <w:p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仿宋_GB2312" w:hAnsi="仿宋" w:eastAsia="仿宋_GB2312" w:cs="仿宋"/>
          <w:color w:val="auto"/>
          <w:sz w:val="32"/>
          <w:szCs w:val="32"/>
        </w:rPr>
        <w:t>202</w:t>
      </w:r>
      <w:r>
        <w:rPr>
          <w:rFonts w:hint="eastAsia" w:ascii="仿宋_GB2312" w:hAnsi="仿宋" w:eastAsia="仿宋_GB2312" w:cs="仿宋"/>
          <w:color w:val="auto"/>
          <w:sz w:val="32"/>
          <w:szCs w:val="32"/>
          <w:lang w:val="en-US" w:eastAsia="zh-CN"/>
        </w:rPr>
        <w:t>3</w:t>
      </w:r>
      <w:r>
        <w:rPr>
          <w:rFonts w:hint="eastAsia" w:ascii="仿宋_GB2312" w:hAnsi="仿宋" w:eastAsia="仿宋_GB2312" w:cs="仿宋"/>
          <w:color w:val="auto"/>
          <w:sz w:val="32"/>
          <w:szCs w:val="32"/>
        </w:rPr>
        <w:t>年度本院基本支出</w:t>
      </w:r>
      <w:r>
        <w:rPr>
          <w:rFonts w:hint="eastAsia" w:ascii="仿宋_GB2312" w:eastAsia="仿宋_GB2312" w:cs="仿宋_GB2312"/>
          <w:color w:val="auto"/>
          <w:kern w:val="0"/>
          <w:sz w:val="32"/>
          <w:szCs w:val="32"/>
          <w:lang w:val="en-US" w:eastAsia="zh-CN"/>
        </w:rPr>
        <w:t>1036.55</w:t>
      </w:r>
      <w:r>
        <w:rPr>
          <w:rFonts w:hint="eastAsia" w:ascii="仿宋_GB2312" w:hAnsi="仿宋" w:eastAsia="仿宋_GB2312" w:cs="仿宋"/>
          <w:color w:val="auto"/>
          <w:sz w:val="32"/>
          <w:szCs w:val="32"/>
          <w:lang w:val="en-US" w:eastAsia="zh-CN"/>
        </w:rPr>
        <w:t>万元</w:t>
      </w:r>
      <w:r>
        <w:rPr>
          <w:rFonts w:hint="eastAsia" w:ascii="仿宋_GB2312" w:hAnsi="仿宋" w:eastAsia="仿宋_GB2312" w:cs="仿宋"/>
          <w:color w:val="auto"/>
          <w:sz w:val="32"/>
          <w:szCs w:val="32"/>
        </w:rPr>
        <w:t>，人员经费支出</w:t>
      </w:r>
      <w:r>
        <w:rPr>
          <w:rFonts w:hint="eastAsia" w:ascii="仿宋_GB2312" w:hAnsi="仿宋_GB2312" w:eastAsia="仿宋_GB2312" w:cs="仿宋_GB2312"/>
          <w:color w:val="auto"/>
          <w:sz w:val="32"/>
          <w:szCs w:val="32"/>
          <w:lang w:val="en-US" w:eastAsia="zh-CN"/>
        </w:rPr>
        <w:t>843.92</w:t>
      </w:r>
      <w:r>
        <w:rPr>
          <w:rFonts w:hint="eastAsia" w:ascii="仿宋_GB2312" w:hAnsi="仿宋" w:eastAsia="仿宋_GB2312" w:cs="仿宋"/>
          <w:color w:val="auto"/>
          <w:sz w:val="32"/>
          <w:szCs w:val="32"/>
        </w:rPr>
        <w:t>万元,占基本支出比例</w:t>
      </w:r>
      <w:r>
        <w:rPr>
          <w:rFonts w:hint="eastAsia" w:ascii="仿宋_GB2312" w:hAnsi="仿宋" w:eastAsia="仿宋_GB2312" w:cs="仿宋"/>
          <w:color w:val="auto"/>
          <w:sz w:val="32"/>
          <w:szCs w:val="32"/>
          <w:lang w:val="en-US" w:eastAsia="zh-CN"/>
        </w:rPr>
        <w:t>81.42</w:t>
      </w:r>
      <w:r>
        <w:rPr>
          <w:rFonts w:hint="eastAsia" w:ascii="仿宋_GB2312" w:hAnsi="仿宋" w:eastAsia="仿宋_GB2312" w:cs="仿宋"/>
          <w:color w:val="auto"/>
          <w:sz w:val="32"/>
          <w:szCs w:val="32"/>
        </w:rPr>
        <w:t>%，日常公用经费支出</w:t>
      </w:r>
      <w:r>
        <w:rPr>
          <w:rFonts w:hint="eastAsia" w:ascii="仿宋_GB2312" w:hAnsi="仿宋_GB2312" w:eastAsia="仿宋_GB2312" w:cs="仿宋_GB2312"/>
          <w:color w:val="auto"/>
          <w:sz w:val="32"/>
          <w:szCs w:val="32"/>
          <w:lang w:val="en-US" w:eastAsia="zh-CN"/>
        </w:rPr>
        <w:t>192.63</w:t>
      </w:r>
      <w:r>
        <w:rPr>
          <w:rFonts w:hint="eastAsia" w:ascii="仿宋_GB2312" w:hAnsi="仿宋" w:eastAsia="仿宋_GB2312" w:cs="仿宋"/>
          <w:color w:val="auto"/>
          <w:sz w:val="32"/>
          <w:szCs w:val="32"/>
          <w:lang w:val="en-US" w:eastAsia="zh-CN"/>
        </w:rPr>
        <w:t>万</w:t>
      </w:r>
      <w:r>
        <w:rPr>
          <w:rFonts w:hint="eastAsia" w:ascii="仿宋_GB2312" w:hAnsi="仿宋" w:eastAsia="仿宋_GB2312" w:cs="仿宋"/>
          <w:color w:val="auto"/>
          <w:sz w:val="32"/>
          <w:szCs w:val="32"/>
        </w:rPr>
        <w:t>元，占基本支出比例</w:t>
      </w:r>
      <w:r>
        <w:rPr>
          <w:rFonts w:hint="eastAsia" w:ascii="仿宋_GB2312" w:hAnsi="仿宋" w:eastAsia="仿宋_GB2312" w:cs="仿宋"/>
          <w:color w:val="auto"/>
          <w:sz w:val="32"/>
          <w:szCs w:val="32"/>
          <w:lang w:val="en-US" w:eastAsia="zh-CN"/>
        </w:rPr>
        <w:t>18.58</w:t>
      </w:r>
      <w:r>
        <w:rPr>
          <w:rFonts w:hint="eastAsia" w:ascii="仿宋_GB2312" w:hAnsi="仿宋" w:eastAsia="仿宋_GB2312" w:cs="仿宋"/>
          <w:color w:val="auto"/>
          <w:sz w:val="32"/>
          <w:szCs w:val="32"/>
        </w:rPr>
        <w:t>%。其中，“三公”经费支出为</w:t>
      </w:r>
      <w:r>
        <w:rPr>
          <w:rFonts w:hint="eastAsia" w:ascii="仿宋_GB2312" w:hAnsi="仿宋" w:eastAsia="仿宋_GB2312" w:cs="仿宋"/>
          <w:color w:val="auto"/>
          <w:sz w:val="32"/>
          <w:szCs w:val="32"/>
          <w:lang w:val="en-US" w:eastAsia="zh-CN"/>
        </w:rPr>
        <w:t>9</w:t>
      </w:r>
      <w:r>
        <w:rPr>
          <w:rFonts w:hint="eastAsia" w:ascii="仿宋_GB2312" w:hAnsi="仿宋" w:eastAsia="仿宋_GB2312" w:cs="仿宋"/>
          <w:color w:val="auto"/>
          <w:sz w:val="32"/>
          <w:szCs w:val="32"/>
        </w:rPr>
        <w:t>万元，占日常公用经费支出比例为</w:t>
      </w:r>
      <w:r>
        <w:rPr>
          <w:rFonts w:hint="eastAsia" w:ascii="仿宋_GB2312" w:hAnsi="仿宋" w:eastAsia="仿宋_GB2312" w:cs="仿宋"/>
          <w:color w:val="auto"/>
          <w:sz w:val="32"/>
          <w:szCs w:val="32"/>
          <w:lang w:val="en-US" w:eastAsia="zh-CN"/>
        </w:rPr>
        <w:t>4.67</w:t>
      </w:r>
      <w:r>
        <w:rPr>
          <w:rFonts w:hint="eastAsia" w:ascii="仿宋_GB2312" w:hAnsi="仿宋" w:eastAsia="仿宋_GB2312" w:cs="仿宋"/>
          <w:color w:val="auto"/>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总体绩效目标</w:t>
      </w:r>
    </w:p>
    <w:p>
      <w:pPr>
        <w:spacing w:before="10" w:after="10"/>
        <w:ind w:firstLine="560"/>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7"/>
        <w:rPr>
          <w:rFonts w:hint="eastAsia" w:ascii="仿宋" w:hAnsi="仿宋" w:eastAsia="仿宋"/>
          <w:sz w:val="32"/>
          <w:szCs w:val="32"/>
        </w:rPr>
      </w:pPr>
      <w:r>
        <w:rPr>
          <w:rFonts w:hint="eastAsia" w:ascii="仿宋" w:hAnsi="仿宋" w:eastAsia="仿宋" w:cs="黑体"/>
          <w:kern w:val="2"/>
          <w:sz w:val="32"/>
          <w:szCs w:val="32"/>
          <w:lang w:val="en-US" w:eastAsia="zh-CN" w:bidi="ar-SA"/>
        </w:rP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案件。构建依法有序信访秩序，及时依法解决群众诉求。提高执法水平和办案质量、提升检察机关法律监督能力。为检察机关工作顺利开展提供检务保障，努力建设公正、高效、权威的检察权运行机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2.分项绩效目标</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绩效目标：提高执法水平和办案质量，提升检察机关法律监督能力</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绩效指标：各项综合业务管理工作完成率=100%</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综合事务管理</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绩效目标：为检察工作顺利开展提供保障</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绩效指标：各项综合事务工作完成率=100%</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检察监督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对侦查机关的侦查活动、人民法院的审批活动、看守所等机关执行刑罚的活动，依法实行法律监督，维护司法公正。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1、侦查监督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绩效目标：打击犯罪、保障人权、维护司法公正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绩效指标：立案和侦查活动监督完成率≥95%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错捕、捕后撤案、不起诉、判无罪率≤5%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批延准确率≥95%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2、公诉和审判监督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绩效目标：全面审查案件事实，核实证据，依法提出审查意见，打击犯罪，保障人权，维护司法公正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绩效指标：诉讼期限内审结案件占全部案件比例≥95%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出庭意见采纳率≥95%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3、民事行政诉讼监督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绩效目标：加大办案力度，提高办案质量</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绩效指标：案件审结率≥95%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抗诉案件再审改变率≥95%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不支持监督申请决定息讼息访率≤5%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检察建议采纳率≥95%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当事人对民事行政申请监督案件满意度≥95%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4、刑事执行检察</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绩效目标：保障刑罚执行和刑事执行活动的依法有序进行</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绩效指标：纠正意见或建议的采纳率≥95%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监督行为及效果满意度≥95%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5、未成年人刑事检察</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绩效目标：打击犯罪、保障人权、维护司法公正</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绩效指标：案件办理率≥95%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受援群众投诉率(%)≤0.1%</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6、司法辅助</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绩效目标：加强各项检察辅助职能，为检察业务提供有力保障</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绩效指标：法警装备购置率≥95%</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7、涉检信访办理</w:t>
      </w:r>
    </w:p>
    <w:p>
      <w:pPr>
        <w:pStyle w:val="8"/>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绩效目标：构建依法有序信访秩序，及时依法解决群众诉求</w:t>
      </w:r>
    </w:p>
    <w:p>
      <w:pPr>
        <w:pStyle w:val="8"/>
        <w:rPr>
          <w:rFonts w:hint="eastAsia" w:ascii="仿宋" w:hAnsi="仿宋" w:eastAsia="仿宋"/>
          <w:sz w:val="32"/>
          <w:szCs w:val="32"/>
        </w:rPr>
      </w:pPr>
      <w:r>
        <w:rPr>
          <w:rFonts w:hint="eastAsia" w:ascii="仿宋" w:hAnsi="仿宋" w:eastAsia="仿宋" w:cs="黑体"/>
          <w:kern w:val="2"/>
          <w:sz w:val="32"/>
          <w:szCs w:val="32"/>
          <w:lang w:val="en-US" w:eastAsia="zh-CN" w:bidi="ar-SA"/>
        </w:rPr>
        <w:t>绩效指标：有效化解涉检信访矛盾率（%）≥95%</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为保证绩效评价工作顺利开展，我院成立了绩效评价工作小组，主管</w:t>
      </w:r>
      <w:r>
        <w:rPr>
          <w:rFonts w:hint="eastAsia" w:ascii="仿宋" w:hAnsi="仿宋" w:eastAsia="仿宋"/>
          <w:sz w:val="32"/>
          <w:szCs w:val="32"/>
          <w:lang w:eastAsia="zh-CN"/>
        </w:rPr>
        <w:t>办公室</w:t>
      </w:r>
      <w:r>
        <w:rPr>
          <w:rFonts w:hint="eastAsia" w:ascii="仿宋" w:hAnsi="仿宋" w:eastAsia="仿宋"/>
          <w:sz w:val="32"/>
          <w:szCs w:val="32"/>
        </w:rPr>
        <w:t>院领导任组长，</w:t>
      </w:r>
      <w:r>
        <w:rPr>
          <w:rFonts w:hint="eastAsia" w:ascii="仿宋" w:hAnsi="仿宋" w:eastAsia="仿宋"/>
          <w:sz w:val="32"/>
          <w:szCs w:val="32"/>
          <w:lang w:eastAsia="zh-CN"/>
        </w:rPr>
        <w:t>办公室主任</w:t>
      </w:r>
      <w:r>
        <w:rPr>
          <w:rFonts w:hint="eastAsia" w:ascii="仿宋" w:hAnsi="仿宋" w:eastAsia="仿宋"/>
          <w:sz w:val="32"/>
          <w:szCs w:val="32"/>
        </w:rPr>
        <w:t>为副组长，下设立专门绩效管理办公室，具体负责绩效评价的组织管理工作和实施工作。</w:t>
      </w:r>
    </w:p>
    <w:p>
      <w:pPr>
        <w:numPr>
          <w:ilvl w:val="0"/>
          <w:numId w:val="3"/>
        </w:numPr>
        <w:spacing w:line="560" w:lineRule="exact"/>
        <w:rPr>
          <w:rFonts w:hint="eastAsia" w:ascii="仿宋" w:hAnsi="仿宋" w:eastAsia="仿宋"/>
          <w:sz w:val="32"/>
          <w:szCs w:val="32"/>
          <w:lang w:val="en-US" w:eastAsia="zh-CN"/>
        </w:rPr>
      </w:pPr>
      <w:r>
        <w:rPr>
          <w:rFonts w:hint="eastAsia" w:ascii="楷体" w:hAnsi="楷体" w:eastAsia="楷体" w:cs="楷体_GB2312"/>
          <w:bCs/>
          <w:sz w:val="32"/>
          <w:szCs w:val="32"/>
        </w:rPr>
        <w:t>自评的方法和过程</w:t>
      </w:r>
    </w:p>
    <w:p>
      <w:pPr>
        <w:numPr>
          <w:ilvl w:val="0"/>
          <w:numId w:val="0"/>
        </w:numPr>
        <w:spacing w:line="560" w:lineRule="exact"/>
        <w:ind w:left="642" w:leftChars="0"/>
        <w:rPr>
          <w:rFonts w:hint="eastAsia" w:ascii="仿宋" w:hAnsi="仿宋" w:eastAsia="仿宋"/>
          <w:sz w:val="32"/>
          <w:szCs w:val="32"/>
          <w:lang w:val="en-US" w:eastAsia="zh-CN"/>
        </w:rPr>
      </w:pPr>
      <w:r>
        <w:rPr>
          <w:rFonts w:hint="eastAsia" w:ascii="仿宋" w:hAnsi="仿宋" w:eastAsia="仿宋"/>
          <w:sz w:val="32"/>
          <w:szCs w:val="32"/>
          <w:lang w:val="en-US" w:eastAsia="zh-CN"/>
        </w:rPr>
        <w:t>1.评价方法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2.实施过程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本次绩效评价工作过程包括前期准备、组织实施、撰写评价报告三个阶段。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(1)前期准备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(2)组织实施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小组成员根据项目实际情况，建立绩效评价指标体系，并通过分析收集的数据、资料，对项目的实施进行评分，形成项目绩效评分表。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(3)撰写绩效评价报告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lang w:val="en-US" w:eastAsia="zh-CN"/>
        </w:rPr>
        <w:t>根据项目绩效评价结果，撰写绩效评价报告，并形成绩效评价档案。</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sz w:val="32"/>
          <w:szCs w:val="32"/>
        </w:rPr>
        <w:t>在</w:t>
      </w:r>
      <w:r>
        <w:rPr>
          <w:rFonts w:hint="eastAsia" w:ascii="仿宋" w:hAnsi="仿宋" w:eastAsia="仿宋"/>
          <w:sz w:val="32"/>
          <w:szCs w:val="32"/>
          <w:lang w:eastAsia="zh-CN"/>
        </w:rPr>
        <w:t>上级院</w:t>
      </w:r>
      <w:r>
        <w:rPr>
          <w:rFonts w:hint="eastAsia" w:ascii="仿宋" w:hAnsi="仿宋" w:eastAsia="仿宋"/>
          <w:sz w:val="32"/>
          <w:szCs w:val="32"/>
        </w:rPr>
        <w:t>和</w:t>
      </w:r>
      <w:r>
        <w:rPr>
          <w:rFonts w:hint="eastAsia" w:ascii="仿宋" w:hAnsi="仿宋" w:eastAsia="仿宋"/>
          <w:sz w:val="32"/>
          <w:szCs w:val="32"/>
          <w:lang w:eastAsia="zh-CN"/>
        </w:rPr>
        <w:t>区委</w:t>
      </w:r>
      <w:r>
        <w:rPr>
          <w:rFonts w:hint="eastAsia" w:ascii="仿宋" w:hAnsi="仿宋" w:eastAsia="仿宋"/>
          <w:sz w:val="32"/>
          <w:szCs w:val="32"/>
        </w:rPr>
        <w:t>的正确领导下，深入学习贯彻习近平新时代中国特色社会主义思想</w:t>
      </w:r>
      <w:r>
        <w:rPr>
          <w:rFonts w:hint="eastAsia" w:ascii="仿宋" w:hAnsi="仿宋" w:eastAsia="仿宋"/>
          <w:sz w:val="32"/>
          <w:szCs w:val="32"/>
          <w:lang w:eastAsia="zh-CN"/>
        </w:rPr>
        <w:t>，</w:t>
      </w:r>
      <w:r>
        <w:rPr>
          <w:rFonts w:hint="eastAsia" w:ascii="仿宋" w:hAnsi="仿宋" w:eastAsia="仿宋"/>
          <w:sz w:val="32"/>
          <w:szCs w:val="32"/>
        </w:rPr>
        <w:t>用习近平法治思想武装头脑，认真领会《中共中央关于党的百年奋斗重大成就和历史经验的决议》，坚决贯彻《中共中央关于加强新时代检察机关法律监督工作的意见》，全面落实最高检、省检察院</w:t>
      </w:r>
      <w:r>
        <w:rPr>
          <w:rFonts w:hint="eastAsia" w:ascii="仿宋" w:hAnsi="仿宋" w:eastAsia="仿宋"/>
          <w:sz w:val="32"/>
          <w:szCs w:val="32"/>
          <w:lang w:eastAsia="zh-CN"/>
        </w:rPr>
        <w:t>、市检察院</w:t>
      </w:r>
      <w:r>
        <w:rPr>
          <w:rFonts w:hint="eastAsia" w:ascii="仿宋" w:hAnsi="仿宋" w:eastAsia="仿宋"/>
          <w:sz w:val="32"/>
          <w:szCs w:val="32"/>
        </w:rPr>
        <w:t>各项决策部署，坚持讲政治、顾大局、谋发展、重自强，按照“日常工作项目化、项目工作品牌化、品牌工作亮点化”工作思路，注重系统观念、法治思维、强基导向，全面履行检察职责，综合运用监督手段，主动作为，能动司法，为加快建设现代化、国际化美丽省会城市提供了有力司法保障</w:t>
      </w:r>
      <w:r>
        <w:rPr>
          <w:rFonts w:hint="eastAsia" w:ascii="仿宋" w:hAnsi="仿宋" w:eastAsia="仿宋"/>
          <w:sz w:val="32"/>
          <w:szCs w:val="32"/>
          <w:lang w:eastAsia="zh-CN"/>
        </w:rPr>
        <w:t>。</w:t>
      </w:r>
    </w:p>
    <w:p>
      <w:pPr>
        <w:spacing w:line="560" w:lineRule="exact"/>
        <w:rPr>
          <w:rFonts w:ascii="楷体" w:hAnsi="楷体" w:eastAsia="楷体"/>
          <w:bCs/>
          <w:color w:val="auto"/>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color w:val="auto"/>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0000FF"/>
          <w:sz w:val="32"/>
          <w:szCs w:val="32"/>
        </w:rPr>
      </w:pPr>
      <w:r>
        <w:rPr>
          <w:rFonts w:hint="eastAsia" w:ascii="仿宋" w:hAnsi="仿宋" w:eastAsia="仿宋"/>
          <w:sz w:val="32"/>
          <w:szCs w:val="32"/>
          <w:lang w:val="en-US" w:eastAsia="zh-CN"/>
        </w:rPr>
        <w:t>1、</w:t>
      </w:r>
      <w:r>
        <w:rPr>
          <w:rFonts w:hint="eastAsia" w:ascii="仿宋" w:hAnsi="仿宋" w:eastAsia="仿宋"/>
          <w:sz w:val="32"/>
          <w:szCs w:val="32"/>
        </w:rPr>
        <w:t>劳务派遣人员经费</w:t>
      </w:r>
      <w:r>
        <w:rPr>
          <w:rFonts w:hint="eastAsia" w:ascii="仿宋" w:hAnsi="仿宋" w:eastAsia="仿宋"/>
          <w:sz w:val="32"/>
          <w:szCs w:val="32"/>
          <w:lang w:val="en-US" w:eastAsia="zh-CN"/>
        </w:rPr>
        <w:t>自评综述</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96</w:t>
      </w:r>
      <w:r>
        <w:rPr>
          <w:rFonts w:hint="eastAsia" w:ascii="仿宋_GB2312" w:hAnsi="仿宋" w:eastAsia="仿宋_GB2312" w:cs="仿宋"/>
          <w:sz w:val="32"/>
          <w:szCs w:val="32"/>
        </w:rPr>
        <w:t>。全年预算数为</w:t>
      </w:r>
      <w:r>
        <w:rPr>
          <w:rFonts w:hint="eastAsia" w:ascii="仿宋_GB2312" w:hAnsi="仿宋" w:eastAsia="仿宋_GB2312" w:cs="仿宋"/>
          <w:sz w:val="32"/>
          <w:szCs w:val="32"/>
          <w:lang w:val="en-US" w:eastAsia="zh-CN"/>
        </w:rPr>
        <w:t>63.6</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51.71</w:t>
      </w:r>
      <w:r>
        <w:rPr>
          <w:rFonts w:hint="eastAsia" w:ascii="仿宋_GB2312" w:hAnsi="仿宋" w:eastAsia="仿宋_GB2312" w:cs="仿宋"/>
          <w:sz w:val="32"/>
          <w:szCs w:val="32"/>
        </w:rPr>
        <w:t>万元，项目绩效完成情况：优秀</w:t>
      </w:r>
      <w:r>
        <w:rPr>
          <w:rFonts w:hint="eastAsia" w:ascii="仿宋_GB2312" w:hAnsi="仿宋" w:eastAsia="仿宋_GB2312" w:cs="仿宋"/>
          <w:color w:val="0000FF"/>
          <w:sz w:val="32"/>
          <w:szCs w:val="32"/>
        </w:rPr>
        <w:t>。</w:t>
      </w:r>
      <w:r>
        <w:rPr>
          <w:rFonts w:hint="eastAsia" w:ascii="仿宋_GB2312" w:hAnsi="仿宋" w:eastAsia="仿宋_GB2312" w:cs="仿宋"/>
          <w:sz w:val="32"/>
          <w:szCs w:val="32"/>
        </w:rPr>
        <w:t>发现的主要问题：</w:t>
      </w:r>
      <w:r>
        <w:rPr>
          <w:rFonts w:hint="eastAsia" w:ascii="仿宋_GB2312" w:hAnsi="仿宋" w:eastAsia="仿宋_GB2312" w:cs="仿宋"/>
          <w:sz w:val="32"/>
          <w:szCs w:val="32"/>
          <w:lang w:eastAsia="zh-CN"/>
        </w:rPr>
        <w:t>预算执行率较低</w:t>
      </w:r>
      <w:r>
        <w:rPr>
          <w:rFonts w:hint="eastAsia" w:ascii="仿宋_GB2312" w:hAnsi="仿宋" w:eastAsia="仿宋_GB2312" w:cs="仿宋"/>
          <w:sz w:val="32"/>
          <w:szCs w:val="32"/>
        </w:rPr>
        <w:t>。下一步改进措施</w:t>
      </w:r>
      <w:r>
        <w:rPr>
          <w:rFonts w:hint="eastAsia" w:ascii="仿宋_GB2312" w:hAnsi="仿宋" w:eastAsia="仿宋_GB2312" w:cs="仿宋"/>
          <w:sz w:val="32"/>
          <w:szCs w:val="32"/>
          <w:lang w:eastAsia="zh-CN"/>
        </w:rPr>
        <w:t>：合理申请预算资金，确保资金项目绩效目标的实现</w:t>
      </w:r>
      <w:r>
        <w:rPr>
          <w:rFonts w:hint="eastAsia" w:ascii="仿宋_GB2312" w:hAnsi="仿宋" w:eastAsia="仿宋_GB2312" w:cs="仿宋"/>
          <w:sz w:val="32"/>
          <w:szCs w:val="32"/>
        </w:rPr>
        <w:t>。</w:t>
      </w:r>
    </w:p>
    <w:p>
      <w:pPr>
        <w:spacing w:line="560" w:lineRule="exact"/>
        <w:ind w:firstLine="800" w:firstLineChars="250"/>
        <w:rPr>
          <w:rFonts w:hint="eastAsia" w:ascii="仿宋_GB2312" w:hAnsi="仿宋" w:eastAsia="仿宋_GB2312" w:cs="仿宋"/>
          <w:color w:val="auto"/>
          <w:sz w:val="32"/>
          <w:szCs w:val="32"/>
        </w:rPr>
      </w:pPr>
      <w:r>
        <w:rPr>
          <w:rFonts w:hint="eastAsia" w:ascii="仿宋" w:hAnsi="仿宋" w:eastAsia="仿宋"/>
          <w:sz w:val="32"/>
          <w:szCs w:val="32"/>
          <w:lang w:val="en-US" w:eastAsia="zh-CN"/>
        </w:rPr>
        <w:t>2、聘用制书记员经费自评综述</w:t>
      </w:r>
      <w:r>
        <w:rPr>
          <w:rFonts w:hint="eastAsia" w:ascii="仿宋_GB2312" w:hAnsi="仿宋" w:eastAsia="仿宋_GB2312" w:cs="仿宋"/>
          <w:sz w:val="32"/>
          <w:szCs w:val="32"/>
        </w:rPr>
        <w:t>根据年初设定的绩效目标，项目支出自评得分为</w:t>
      </w:r>
      <w:r>
        <w:rPr>
          <w:rFonts w:hint="eastAsia" w:ascii="仿宋_GB2312" w:hAnsi="仿宋" w:eastAsia="仿宋_GB2312" w:cs="仿宋"/>
          <w:sz w:val="32"/>
          <w:szCs w:val="32"/>
          <w:lang w:val="en-US" w:eastAsia="zh-CN"/>
        </w:rPr>
        <w:t>98</w:t>
      </w:r>
      <w:r>
        <w:rPr>
          <w:rFonts w:hint="eastAsia" w:ascii="仿宋_GB2312" w:hAnsi="仿宋" w:eastAsia="仿宋_GB2312" w:cs="仿宋"/>
          <w:sz w:val="32"/>
          <w:szCs w:val="32"/>
        </w:rPr>
        <w:t>。全</w:t>
      </w:r>
      <w:r>
        <w:rPr>
          <w:rFonts w:hint="eastAsia" w:ascii="仿宋_GB2312" w:hAnsi="仿宋" w:eastAsia="仿宋_GB2312" w:cs="仿宋"/>
          <w:color w:val="auto"/>
          <w:sz w:val="32"/>
          <w:szCs w:val="32"/>
        </w:rPr>
        <w:t>年预算数为</w:t>
      </w:r>
      <w:r>
        <w:rPr>
          <w:rFonts w:hint="eastAsia" w:ascii="仿宋_GB2312" w:hAnsi="仿宋" w:eastAsia="仿宋_GB2312" w:cs="仿宋"/>
          <w:color w:val="auto"/>
          <w:sz w:val="32"/>
          <w:szCs w:val="32"/>
          <w:lang w:val="en-US" w:eastAsia="zh-CN"/>
        </w:rPr>
        <w:t>101.44万元，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100.21</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spacing w:line="560" w:lineRule="exact"/>
        <w:ind w:firstLine="800" w:firstLineChars="250"/>
        <w:rPr>
          <w:rFonts w:hint="eastAsia" w:ascii="仿宋_GB2312" w:hAnsi="仿宋" w:eastAsia="仿宋_GB2312" w:cs="仿宋"/>
          <w:color w:val="auto"/>
          <w:sz w:val="32"/>
          <w:szCs w:val="32"/>
        </w:rPr>
      </w:pPr>
      <w:r>
        <w:rPr>
          <w:rFonts w:hint="eastAsia" w:ascii="仿宋" w:hAnsi="仿宋" w:eastAsia="仿宋_GB2312"/>
          <w:color w:val="auto"/>
          <w:sz w:val="32"/>
          <w:szCs w:val="32"/>
          <w:lang w:val="en-US" w:eastAsia="zh-CN"/>
        </w:rPr>
        <w:t>3、物业管理费等</w:t>
      </w:r>
      <w:r>
        <w:rPr>
          <w:rFonts w:hint="eastAsia" w:ascii="仿宋" w:hAnsi="仿宋" w:eastAsia="仿宋"/>
          <w:color w:val="auto"/>
          <w:sz w:val="32"/>
          <w:szCs w:val="32"/>
          <w:lang w:val="en-US" w:eastAsia="zh-CN"/>
        </w:rPr>
        <w:t>自评综述</w:t>
      </w:r>
      <w:r>
        <w:rPr>
          <w:rFonts w:hint="eastAsia" w:ascii="仿宋_GB2312" w:hAnsi="仿宋" w:eastAsia="仿宋_GB2312" w:cs="仿宋"/>
          <w:color w:val="auto"/>
          <w:sz w:val="32"/>
          <w:szCs w:val="32"/>
        </w:rPr>
        <w:t>根据年初设定的绩效目标，项目支出自评得分为</w:t>
      </w:r>
      <w:r>
        <w:rPr>
          <w:rFonts w:hint="eastAsia" w:ascii="仿宋_GB2312" w:hAnsi="仿宋" w:eastAsia="仿宋_GB2312" w:cs="仿宋"/>
          <w:color w:val="auto"/>
          <w:sz w:val="32"/>
          <w:szCs w:val="32"/>
          <w:lang w:val="en-US" w:eastAsia="zh-CN"/>
        </w:rPr>
        <w:t>98</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26.5万元，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24.83</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spacing w:line="560" w:lineRule="exact"/>
        <w:ind w:firstLine="800" w:firstLineChars="250"/>
        <w:rPr>
          <w:rFonts w:hint="eastAsia" w:ascii="仿宋_GB2312" w:hAnsi="仿宋" w:eastAsia="仿宋_GB2312" w:cs="仿宋"/>
          <w:color w:val="auto"/>
          <w:sz w:val="32"/>
          <w:szCs w:val="32"/>
        </w:rPr>
      </w:pPr>
      <w:r>
        <w:rPr>
          <w:rFonts w:hint="eastAsia" w:ascii="仿宋" w:hAnsi="仿宋" w:eastAsia="仿宋_GB2312"/>
          <w:color w:val="auto"/>
          <w:sz w:val="32"/>
          <w:szCs w:val="32"/>
          <w:lang w:val="en-US" w:eastAsia="zh-CN"/>
        </w:rPr>
        <w:t>4、业务用房维修维护费</w:t>
      </w:r>
      <w:r>
        <w:rPr>
          <w:rFonts w:hint="eastAsia" w:ascii="仿宋" w:hAnsi="仿宋" w:eastAsia="仿宋"/>
          <w:color w:val="auto"/>
          <w:sz w:val="32"/>
          <w:szCs w:val="32"/>
          <w:lang w:val="en-US" w:eastAsia="zh-CN"/>
        </w:rPr>
        <w:t>自评综述</w:t>
      </w:r>
      <w:r>
        <w:rPr>
          <w:rFonts w:hint="eastAsia" w:ascii="仿宋_GB2312" w:hAnsi="仿宋" w:eastAsia="仿宋_GB2312" w:cs="仿宋"/>
          <w:color w:val="auto"/>
          <w:sz w:val="32"/>
          <w:szCs w:val="32"/>
        </w:rPr>
        <w:t>根据年初设定的绩效目标，项目支出自评得分为</w:t>
      </w:r>
      <w:r>
        <w:rPr>
          <w:rFonts w:hint="eastAsia" w:ascii="仿宋_GB2312" w:hAnsi="仿宋" w:eastAsia="仿宋_GB2312" w:cs="仿宋"/>
          <w:color w:val="auto"/>
          <w:sz w:val="32"/>
          <w:szCs w:val="32"/>
          <w:lang w:val="en-US" w:eastAsia="zh-CN"/>
        </w:rPr>
        <w:t>100</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18.88万元，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18.88</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5、</w:t>
      </w:r>
      <w:r>
        <w:rPr>
          <w:rFonts w:hint="default" w:ascii="仿宋_GB2312" w:hAnsi="仿宋" w:eastAsia="仿宋_GB2312" w:cs="仿宋"/>
          <w:color w:val="auto"/>
          <w:sz w:val="32"/>
          <w:szCs w:val="32"/>
          <w:lang w:val="en-US" w:eastAsia="zh-CN"/>
        </w:rPr>
        <w:t>提前下达2023年中央政法纪检监察转移支付资金（业务费）</w:t>
      </w:r>
      <w:r>
        <w:rPr>
          <w:rFonts w:hint="eastAsia" w:ascii="仿宋_GB2312" w:hAnsi="仿宋" w:eastAsia="仿宋_GB2312" w:cs="仿宋"/>
          <w:color w:val="auto"/>
          <w:sz w:val="32"/>
          <w:szCs w:val="32"/>
        </w:rPr>
        <w:t>项目支出自评得分为</w:t>
      </w:r>
      <w:r>
        <w:rPr>
          <w:rFonts w:hint="eastAsia" w:ascii="仿宋_GB2312" w:hAnsi="仿宋" w:eastAsia="仿宋_GB2312" w:cs="仿宋"/>
          <w:color w:val="auto"/>
          <w:sz w:val="32"/>
          <w:szCs w:val="32"/>
          <w:lang w:val="en-US" w:eastAsia="zh-CN"/>
        </w:rPr>
        <w:t>99</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30万元，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30</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lang w:val="en-US" w:eastAsia="zh-CN"/>
        </w:rPr>
      </w:pPr>
      <w:r>
        <w:rPr>
          <w:rFonts w:hint="eastAsia" w:ascii="仿宋_GB2312" w:hAnsi="仿宋" w:eastAsia="仿宋_GB2312" w:cs="仿宋"/>
          <w:color w:val="auto"/>
          <w:sz w:val="32"/>
          <w:szCs w:val="32"/>
          <w:lang w:val="en-US" w:eastAsia="zh-CN"/>
        </w:rPr>
        <w:t>6、政法机关2023年中央政法纪检监察转移支付资金（装备费）</w:t>
      </w:r>
      <w:r>
        <w:rPr>
          <w:rFonts w:hint="eastAsia" w:ascii="仿宋_GB2312" w:hAnsi="仿宋" w:eastAsia="仿宋_GB2312" w:cs="仿宋"/>
          <w:color w:val="auto"/>
          <w:sz w:val="32"/>
          <w:szCs w:val="32"/>
        </w:rPr>
        <w:t>项目支出自评得分为</w:t>
      </w:r>
      <w:r>
        <w:rPr>
          <w:rFonts w:hint="eastAsia" w:ascii="仿宋_GB2312" w:hAnsi="仿宋" w:eastAsia="仿宋_GB2312" w:cs="仿宋"/>
          <w:color w:val="auto"/>
          <w:sz w:val="32"/>
          <w:szCs w:val="32"/>
          <w:lang w:val="en-US" w:eastAsia="zh-CN"/>
        </w:rPr>
        <w:t>99</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50万元，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50</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bookmarkStart w:id="1" w:name="_GoBack"/>
      <w:bookmarkEnd w:id="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7、提前下达2023年度省级基层公检法司转移支付资金（业务费）</w:t>
      </w:r>
      <w:r>
        <w:rPr>
          <w:rFonts w:hint="eastAsia" w:ascii="仿宋_GB2312" w:hAnsi="仿宋" w:eastAsia="仿宋_GB2312" w:cs="仿宋"/>
          <w:color w:val="auto"/>
          <w:sz w:val="32"/>
          <w:szCs w:val="32"/>
        </w:rPr>
        <w:t>项目支出自评得分为</w:t>
      </w:r>
      <w:r>
        <w:rPr>
          <w:rFonts w:hint="eastAsia" w:ascii="仿宋_GB2312" w:hAnsi="仿宋" w:eastAsia="仿宋_GB2312" w:cs="仿宋"/>
          <w:color w:val="auto"/>
          <w:sz w:val="32"/>
          <w:szCs w:val="32"/>
          <w:lang w:val="en-US" w:eastAsia="zh-CN"/>
        </w:rPr>
        <w:t>99</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34万元，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33.91</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8、提前下达2023年度省级基层公检法司转移支付资金（装备费）</w:t>
      </w:r>
      <w:r>
        <w:rPr>
          <w:rFonts w:hint="eastAsia" w:ascii="仿宋_GB2312" w:hAnsi="仿宋" w:eastAsia="仿宋_GB2312" w:cs="仿宋"/>
          <w:color w:val="auto"/>
          <w:sz w:val="32"/>
          <w:szCs w:val="32"/>
        </w:rPr>
        <w:t>项目支出自评得分为</w:t>
      </w:r>
      <w:r>
        <w:rPr>
          <w:rFonts w:hint="eastAsia" w:ascii="仿宋_GB2312" w:hAnsi="仿宋" w:eastAsia="仿宋_GB2312" w:cs="仿宋"/>
          <w:color w:val="auto"/>
          <w:sz w:val="32"/>
          <w:szCs w:val="32"/>
          <w:lang w:val="en-US" w:eastAsia="zh-CN"/>
        </w:rPr>
        <w:t>99</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50万元，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50</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9、政法机关2023年中央政法纪检监察转移支付资金（办案业务费）</w:t>
      </w:r>
      <w:r>
        <w:rPr>
          <w:rFonts w:hint="eastAsia" w:ascii="仿宋_GB2312" w:hAnsi="仿宋" w:eastAsia="仿宋_GB2312" w:cs="仿宋"/>
          <w:color w:val="auto"/>
          <w:sz w:val="32"/>
          <w:szCs w:val="32"/>
        </w:rPr>
        <w:t>项目支出自评得分为</w:t>
      </w:r>
      <w:r>
        <w:rPr>
          <w:rFonts w:hint="eastAsia" w:ascii="仿宋_GB2312" w:hAnsi="仿宋" w:eastAsia="仿宋_GB2312" w:cs="仿宋"/>
          <w:color w:val="auto"/>
          <w:sz w:val="32"/>
          <w:szCs w:val="32"/>
          <w:lang w:val="en-US" w:eastAsia="zh-CN"/>
        </w:rPr>
        <w:t>96</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5万元，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4.76</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10、政法机关2023年中央政法纪检监察转移支付资金（装备费）</w:t>
      </w:r>
      <w:r>
        <w:rPr>
          <w:rFonts w:hint="eastAsia" w:ascii="仿宋_GB2312" w:hAnsi="仿宋" w:eastAsia="仿宋_GB2312" w:cs="仿宋"/>
          <w:color w:val="auto"/>
          <w:sz w:val="32"/>
          <w:szCs w:val="32"/>
        </w:rPr>
        <w:t>项目支出自评得分为</w:t>
      </w:r>
      <w:r>
        <w:rPr>
          <w:rFonts w:hint="eastAsia" w:ascii="仿宋_GB2312" w:hAnsi="仿宋" w:eastAsia="仿宋_GB2312" w:cs="仿宋"/>
          <w:color w:val="auto"/>
          <w:sz w:val="32"/>
          <w:szCs w:val="32"/>
          <w:lang w:val="en-US" w:eastAsia="zh-CN"/>
        </w:rPr>
        <w:t>96</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16万元，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15.93</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color w:val="auto"/>
          <w:sz w:val="32"/>
          <w:szCs w:val="32"/>
          <w:lang w:val="en-US" w:eastAsia="zh-CN"/>
        </w:rPr>
      </w:pPr>
      <w:r>
        <w:rPr>
          <w:rFonts w:hint="eastAsia" w:ascii="仿宋_GB2312" w:hAnsi="仿宋" w:eastAsia="仿宋_GB2312" w:cs="仿宋"/>
          <w:color w:val="auto"/>
          <w:sz w:val="32"/>
          <w:szCs w:val="32"/>
          <w:lang w:val="en-US" w:eastAsia="zh-CN"/>
        </w:rPr>
        <w:t>11、</w:t>
      </w:r>
      <w:r>
        <w:rPr>
          <w:rFonts w:hint="default" w:ascii="仿宋_GB2312" w:hAnsi="仿宋" w:eastAsia="仿宋_GB2312" w:cs="仿宋"/>
          <w:color w:val="auto"/>
          <w:sz w:val="32"/>
          <w:szCs w:val="32"/>
          <w:lang w:val="en-US" w:eastAsia="zh-CN"/>
        </w:rPr>
        <w:t>2023年政法转移支付</w:t>
      </w:r>
      <w:r>
        <w:rPr>
          <w:rFonts w:hint="eastAsia" w:ascii="仿宋_GB2312" w:hAnsi="仿宋" w:eastAsia="仿宋_GB2312" w:cs="仿宋"/>
          <w:color w:val="auto"/>
          <w:sz w:val="32"/>
          <w:szCs w:val="32"/>
          <w:lang w:val="en-US" w:eastAsia="zh-CN"/>
        </w:rPr>
        <w:t>扫黑除恶资金项</w:t>
      </w:r>
      <w:r>
        <w:rPr>
          <w:rFonts w:hint="eastAsia" w:ascii="仿宋_GB2312" w:hAnsi="仿宋" w:eastAsia="仿宋_GB2312" w:cs="仿宋"/>
          <w:color w:val="auto"/>
          <w:sz w:val="32"/>
          <w:szCs w:val="32"/>
        </w:rPr>
        <w:t>目支出自评得分为</w:t>
      </w:r>
      <w:r>
        <w:rPr>
          <w:rFonts w:hint="eastAsia" w:ascii="仿宋_GB2312" w:hAnsi="仿宋" w:eastAsia="仿宋_GB2312" w:cs="仿宋"/>
          <w:color w:val="auto"/>
          <w:sz w:val="32"/>
          <w:szCs w:val="32"/>
          <w:lang w:val="en-US" w:eastAsia="zh-CN"/>
        </w:rPr>
        <w:t>94</w:t>
      </w:r>
      <w:r>
        <w:rPr>
          <w:rFonts w:hint="eastAsia" w:ascii="仿宋_GB2312" w:hAnsi="仿宋" w:eastAsia="仿宋_GB2312" w:cs="仿宋"/>
          <w:color w:val="auto"/>
          <w:sz w:val="32"/>
          <w:szCs w:val="32"/>
        </w:rPr>
        <w:t>。全年预算数为</w:t>
      </w:r>
      <w:r>
        <w:rPr>
          <w:rFonts w:hint="eastAsia" w:ascii="仿宋_GB2312" w:hAnsi="仿宋" w:eastAsia="仿宋_GB2312" w:cs="仿宋"/>
          <w:color w:val="auto"/>
          <w:sz w:val="32"/>
          <w:szCs w:val="32"/>
          <w:lang w:val="en-US" w:eastAsia="zh-CN"/>
        </w:rPr>
        <w:t>3万元，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2.39</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val="en-US" w:eastAsia="zh-CN"/>
        </w:rPr>
        <w:t>支出进度慢</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lang w:val="en-US" w:eastAsia="zh-CN"/>
        </w:rPr>
        <w:t>精准预算项目资金，加快支出进度</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12、</w:t>
      </w:r>
      <w:r>
        <w:rPr>
          <w:rFonts w:hint="default" w:ascii="仿宋_GB2312" w:hAnsi="仿宋" w:eastAsia="仿宋_GB2312" w:cs="仿宋"/>
          <w:color w:val="auto"/>
          <w:sz w:val="32"/>
          <w:szCs w:val="32"/>
          <w:lang w:val="en-US" w:eastAsia="zh-CN"/>
        </w:rPr>
        <w:t>2023年政法转移支付司法救助资金</w:t>
      </w:r>
      <w:r>
        <w:rPr>
          <w:rFonts w:hint="eastAsia" w:ascii="仿宋_GB2312" w:hAnsi="仿宋" w:eastAsia="仿宋_GB2312" w:cs="仿宋"/>
          <w:color w:val="auto"/>
          <w:sz w:val="32"/>
          <w:szCs w:val="32"/>
          <w:lang w:val="en-US" w:eastAsia="zh-CN"/>
        </w:rPr>
        <w:t>项</w:t>
      </w:r>
      <w:r>
        <w:rPr>
          <w:rFonts w:hint="eastAsia" w:ascii="仿宋_GB2312" w:hAnsi="仿宋" w:eastAsia="仿宋_GB2312" w:cs="仿宋"/>
          <w:color w:val="auto"/>
          <w:sz w:val="32"/>
          <w:szCs w:val="32"/>
        </w:rPr>
        <w:t>目支出自评得分为</w:t>
      </w:r>
      <w:r>
        <w:rPr>
          <w:rFonts w:hint="eastAsia" w:ascii="仿宋_GB2312" w:hAnsi="仿宋" w:eastAsia="仿宋_GB2312" w:cs="仿宋"/>
          <w:color w:val="auto"/>
          <w:sz w:val="32"/>
          <w:szCs w:val="32"/>
          <w:lang w:val="en-US" w:eastAsia="zh-CN"/>
        </w:rPr>
        <w:t>98</w:t>
      </w:r>
      <w:r>
        <w:rPr>
          <w:rFonts w:hint="eastAsia" w:ascii="仿宋_GB2312" w:hAnsi="仿宋" w:eastAsia="仿宋_GB2312" w:cs="仿宋"/>
          <w:color w:val="auto"/>
          <w:sz w:val="32"/>
          <w:szCs w:val="32"/>
        </w:rPr>
        <w:t>。全年预算数</w:t>
      </w:r>
      <w:r>
        <w:rPr>
          <w:rFonts w:hint="eastAsia" w:ascii="仿宋_GB2312" w:hAnsi="仿宋" w:eastAsia="仿宋_GB2312" w:cs="仿宋"/>
          <w:color w:val="auto"/>
          <w:sz w:val="32"/>
          <w:szCs w:val="32"/>
          <w:lang w:val="en-US" w:eastAsia="zh-CN"/>
        </w:rPr>
        <w:t>为8万元，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7.3</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lang w:val="en-US" w:eastAsia="zh-CN"/>
        </w:rPr>
        <w:t>加快资金支出进度</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color w:val="auto"/>
          <w:sz w:val="32"/>
          <w:szCs w:val="32"/>
        </w:rPr>
      </w:pPr>
      <w:r>
        <w:rPr>
          <w:rFonts w:hint="eastAsia" w:ascii="仿宋_GB2312" w:hAnsi="仿宋" w:eastAsia="仿宋_GB2312" w:cs="仿宋"/>
          <w:color w:val="auto"/>
          <w:sz w:val="32"/>
          <w:szCs w:val="32"/>
          <w:lang w:val="en-US" w:eastAsia="zh-CN"/>
        </w:rPr>
        <w:t>13、扫黑除恶专项补助项</w:t>
      </w:r>
      <w:r>
        <w:rPr>
          <w:rFonts w:hint="eastAsia" w:ascii="仿宋_GB2312" w:hAnsi="仿宋" w:eastAsia="仿宋_GB2312" w:cs="仿宋"/>
          <w:color w:val="auto"/>
          <w:sz w:val="32"/>
          <w:szCs w:val="32"/>
        </w:rPr>
        <w:t>目支出自评得分为</w:t>
      </w:r>
      <w:r>
        <w:rPr>
          <w:rFonts w:hint="eastAsia" w:ascii="仿宋_GB2312" w:hAnsi="仿宋" w:eastAsia="仿宋_GB2312" w:cs="仿宋"/>
          <w:color w:val="auto"/>
          <w:sz w:val="32"/>
          <w:szCs w:val="32"/>
          <w:lang w:val="en-US" w:eastAsia="zh-CN"/>
        </w:rPr>
        <w:t>99</w:t>
      </w:r>
      <w:r>
        <w:rPr>
          <w:rFonts w:hint="eastAsia" w:ascii="仿宋_GB2312" w:hAnsi="仿宋" w:eastAsia="仿宋_GB2312" w:cs="仿宋"/>
          <w:color w:val="auto"/>
          <w:sz w:val="32"/>
          <w:szCs w:val="32"/>
        </w:rPr>
        <w:t>。全年预算数</w:t>
      </w:r>
      <w:r>
        <w:rPr>
          <w:rFonts w:hint="eastAsia" w:ascii="仿宋_GB2312" w:hAnsi="仿宋" w:eastAsia="仿宋_GB2312" w:cs="仿宋"/>
          <w:color w:val="auto"/>
          <w:sz w:val="32"/>
          <w:szCs w:val="32"/>
          <w:lang w:val="en-US" w:eastAsia="zh-CN"/>
        </w:rPr>
        <w:t>为7.6万元，</w:t>
      </w:r>
      <w:r>
        <w:rPr>
          <w:rFonts w:hint="eastAsia" w:ascii="仿宋_GB2312" w:hAnsi="仿宋" w:eastAsia="仿宋_GB2312" w:cs="仿宋"/>
          <w:color w:val="auto"/>
          <w:sz w:val="32"/>
          <w:szCs w:val="32"/>
        </w:rPr>
        <w:t>执行数为</w:t>
      </w:r>
      <w:r>
        <w:rPr>
          <w:rFonts w:hint="eastAsia" w:ascii="仿宋_GB2312" w:hAnsi="仿宋" w:eastAsia="仿宋_GB2312" w:cs="仿宋"/>
          <w:color w:val="auto"/>
          <w:sz w:val="32"/>
          <w:szCs w:val="32"/>
          <w:lang w:val="en-US" w:eastAsia="zh-CN"/>
        </w:rPr>
        <w:t>7.6</w:t>
      </w:r>
      <w:r>
        <w:rPr>
          <w:rFonts w:hint="eastAsia" w:ascii="仿宋_GB2312" w:hAnsi="仿宋" w:eastAsia="仿宋_GB2312" w:cs="仿宋"/>
          <w:color w:val="auto"/>
          <w:sz w:val="32"/>
          <w:szCs w:val="32"/>
        </w:rPr>
        <w:t>万元</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rPr>
        <w:t>项目绩效完成情况：优秀。发现的主要问题：</w:t>
      </w:r>
      <w:r>
        <w:rPr>
          <w:rFonts w:hint="eastAsia" w:ascii="仿宋_GB2312" w:hAnsi="仿宋" w:eastAsia="仿宋_GB2312" w:cs="仿宋"/>
          <w:color w:val="auto"/>
          <w:sz w:val="32"/>
          <w:szCs w:val="32"/>
          <w:lang w:eastAsia="zh-CN"/>
        </w:rPr>
        <w:t>无</w:t>
      </w:r>
      <w:r>
        <w:rPr>
          <w:rFonts w:hint="eastAsia" w:ascii="仿宋_GB2312" w:hAnsi="仿宋" w:eastAsia="仿宋_GB2312" w:cs="仿宋"/>
          <w:color w:val="auto"/>
          <w:sz w:val="32"/>
          <w:szCs w:val="32"/>
        </w:rPr>
        <w:t>。下一步改进措施</w:t>
      </w:r>
      <w:r>
        <w:rPr>
          <w:rFonts w:hint="eastAsia" w:ascii="仿宋_GB2312" w:hAnsi="仿宋" w:eastAsia="仿宋_GB2312" w:cs="仿宋"/>
          <w:color w:val="auto"/>
          <w:sz w:val="32"/>
          <w:szCs w:val="32"/>
          <w:lang w:eastAsia="zh-CN"/>
        </w:rPr>
        <w:t>：</w:t>
      </w:r>
      <w:r>
        <w:rPr>
          <w:rFonts w:hint="eastAsia" w:ascii="仿宋_GB2312" w:hAnsi="仿宋" w:eastAsia="仿宋_GB2312" w:cs="仿宋"/>
          <w:color w:val="auto"/>
          <w:sz w:val="32"/>
          <w:szCs w:val="32"/>
          <w:lang w:val="en-US" w:eastAsia="zh-CN"/>
        </w:rPr>
        <w:t>加快资金支出进度</w:t>
      </w:r>
      <w:r>
        <w:rPr>
          <w:rFonts w:hint="eastAsia" w:ascii="仿宋_GB2312" w:hAnsi="仿宋" w:eastAsia="仿宋_GB2312" w:cs="仿宋"/>
          <w:color w:val="auto"/>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13</w:t>
      </w:r>
      <w:r>
        <w:rPr>
          <w:rFonts w:hint="eastAsia" w:ascii="仿宋_GB2312" w:hAnsi="仿宋" w:eastAsia="仿宋_GB2312" w:cs="仿宋"/>
          <w:sz w:val="32"/>
          <w:szCs w:val="32"/>
        </w:rPr>
        <w:t>个项目自评得分均在90分以上，202</w:t>
      </w: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年我院较好的完成了年度工作目标，综合评价等级为“优秀”。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多措并举提升预算执行率。年初应制定较为详细的资金使用明细和计划，有效保障下一年度的资金使用和项目实施，采取项目事前评估或其他方式对项目执行过程中可能发生的问题进行预测，有的放矢的采取相关措施保障计划顺利实施。</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王军波 党组书记、检察长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张战强 党组副书记、副检察长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lang w:eastAsia="zh-CN"/>
        </w:rPr>
      </w:pPr>
      <w:r>
        <w:rPr>
          <w:rFonts w:hint="eastAsia" w:ascii="仿宋_GB2312" w:hAnsi="仿宋" w:eastAsia="仿宋_GB2312" w:cs="仿宋"/>
          <w:sz w:val="32"/>
          <w:szCs w:val="32"/>
          <w:lang w:val="en-US" w:eastAsia="zh-CN"/>
        </w:rPr>
        <w:t>杜学军</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eastAsia="zh-CN"/>
        </w:rPr>
        <w:t>办公室主任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周青   财务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刘晓莹 财务</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swiss"/>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黑体_GBK">
    <w:altName w:val="宋体"/>
    <w:panose1 w:val="00000000000000000000"/>
    <w:charset w:val="86"/>
    <w:family w:val="roman"/>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5074A6"/>
    <w:multiLevelType w:val="singleLevel"/>
    <w:tmpl w:val="B45074A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2903124"/>
    <w:multiLevelType w:val="singleLevel"/>
    <w:tmpl w:val="62903124"/>
    <w:lvl w:ilvl="0" w:tentative="0">
      <w:start w:val="1"/>
      <w:numFmt w:val="chineseCounting"/>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ZlOTk5NjkwY2RlODUzYjU2NWYwMDk0ODg5MTg3MmI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3A65A4C"/>
    <w:rsid w:val="1AAF0063"/>
    <w:rsid w:val="1BE140DE"/>
    <w:rsid w:val="21486D8C"/>
    <w:rsid w:val="248C197D"/>
    <w:rsid w:val="252959AF"/>
    <w:rsid w:val="277A6671"/>
    <w:rsid w:val="292D35B7"/>
    <w:rsid w:val="31E52806"/>
    <w:rsid w:val="33EB6CFF"/>
    <w:rsid w:val="35A12947"/>
    <w:rsid w:val="37387040"/>
    <w:rsid w:val="38334E37"/>
    <w:rsid w:val="39B121AA"/>
    <w:rsid w:val="3B625C0A"/>
    <w:rsid w:val="3CEE1963"/>
    <w:rsid w:val="402B0D32"/>
    <w:rsid w:val="436B78D3"/>
    <w:rsid w:val="48334E04"/>
    <w:rsid w:val="49DD4008"/>
    <w:rsid w:val="4C9C27FE"/>
    <w:rsid w:val="503B1D58"/>
    <w:rsid w:val="512260B4"/>
    <w:rsid w:val="52BD6ACB"/>
    <w:rsid w:val="55537534"/>
    <w:rsid w:val="561A74F1"/>
    <w:rsid w:val="597244E8"/>
    <w:rsid w:val="5EB71C30"/>
    <w:rsid w:val="66AF0CE5"/>
    <w:rsid w:val="6AC537CF"/>
    <w:rsid w:val="6BA12A29"/>
    <w:rsid w:val="6E5B14A6"/>
    <w:rsid w:val="711B255E"/>
    <w:rsid w:val="74C20759"/>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autoRedefine/>
    <w:qFormat/>
    <w:uiPriority w:val="0"/>
    <w:pPr>
      <w:spacing w:line="500" w:lineRule="exact"/>
      <w:ind w:firstLine="560"/>
    </w:pPr>
    <w:rPr>
      <w:rFonts w:eastAsia="方正仿宋_GBK"/>
      <w:sz w:val="28"/>
    </w:rPr>
  </w:style>
  <w:style w:type="paragraph" w:customStyle="1" w:styleId="7">
    <w:name w:val="插入文本样式-插入总体目标文件"/>
    <w:basedOn w:val="1"/>
    <w:autoRedefine/>
    <w:qFormat/>
    <w:uiPriority w:val="0"/>
    <w:pPr>
      <w:spacing w:line="500" w:lineRule="exact"/>
      <w:ind w:firstLine="560"/>
    </w:pPr>
    <w:rPr>
      <w:rFonts w:eastAsia="方正仿宋_GBK"/>
      <w:sz w:val="28"/>
    </w:rPr>
  </w:style>
  <w:style w:type="paragraph" w:customStyle="1" w:styleId="8">
    <w:name w:val="插入文本样式-插入职责分类绩效目标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100</Words>
  <Characters>570</Characters>
  <Lines>4</Lines>
  <Paragraphs>1</Paragraphs>
  <TotalTime>13</TotalTime>
  <ScaleCrop>false</ScaleCrop>
  <LinksUpToDate>false</LinksUpToDate>
  <CharactersWithSpaces>669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young</cp:lastModifiedBy>
  <cp:lastPrinted>2024-03-06T07:40:00Z</cp:lastPrinted>
  <dcterms:modified xsi:type="dcterms:W3CDTF">2024-04-22T08:55:45Z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96934721B1514D3FBAA28020338CE855_12</vt:lpwstr>
  </property>
</Properties>
</file>