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both"/>
        <w:outlineLvl w:val="1"/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eastAsia="zh-CN"/>
        </w:rPr>
        <w:t>附件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4</w:t>
      </w:r>
    </w:p>
    <w:p>
      <w:pPr>
        <w:jc w:val="center"/>
        <w:outlineLvl w:val="1"/>
        <w:rPr>
          <w:rFonts w:hint="eastAsia" w:asciiTheme="majorEastAsia" w:hAnsiTheme="majorEastAsia" w:eastAsiaTheme="majorEastAsia" w:cstheme="majorEastAsia"/>
          <w:b/>
          <w:bCs/>
          <w:sz w:val="44"/>
          <w:szCs w:val="44"/>
          <w:lang w:eastAsia="zh-CN"/>
        </w:rPr>
      </w:pPr>
    </w:p>
    <w:p>
      <w:pPr>
        <w:jc w:val="center"/>
        <w:outlineLvl w:val="1"/>
        <w:rPr>
          <w:rFonts w:hint="eastAsia" w:asciiTheme="majorEastAsia" w:hAnsiTheme="majorEastAsia" w:eastAsiaTheme="majorEastAsia" w:cstheme="majorEastAsia"/>
          <w:b/>
          <w:bCs/>
          <w:sz w:val="44"/>
          <w:szCs w:val="44"/>
          <w:lang w:eastAsia="zh-CN"/>
        </w:rPr>
      </w:pPr>
      <w:r>
        <w:rPr>
          <w:rFonts w:hint="eastAsia" w:asciiTheme="majorEastAsia" w:hAnsiTheme="majorEastAsia" w:eastAsiaTheme="majorEastAsia" w:cstheme="majorEastAsia"/>
          <w:b/>
          <w:bCs/>
          <w:sz w:val="44"/>
          <w:szCs w:val="44"/>
          <w:lang w:eastAsia="zh-CN"/>
        </w:rPr>
        <w:t>石家庄职业技术学院</w:t>
      </w:r>
    </w:p>
    <w:p>
      <w:pPr>
        <w:jc w:val="center"/>
        <w:outlineLvl w:val="1"/>
        <w:rPr>
          <w:rFonts w:hint="eastAsia" w:asciiTheme="majorEastAsia" w:hAnsiTheme="majorEastAsia" w:eastAsiaTheme="majorEastAsia" w:cstheme="majorEastAsia"/>
          <w:b/>
          <w:bCs/>
          <w:sz w:val="44"/>
          <w:szCs w:val="44"/>
          <w:lang w:eastAsia="zh-CN"/>
        </w:rPr>
      </w:pPr>
      <w:r>
        <w:rPr>
          <w:rFonts w:hint="eastAsia" w:asciiTheme="majorEastAsia" w:hAnsiTheme="majorEastAsia" w:eastAsiaTheme="majorEastAsia" w:cstheme="majorEastAsia"/>
          <w:b/>
          <w:bCs/>
          <w:sz w:val="44"/>
          <w:szCs w:val="44"/>
          <w:lang w:val="en-US" w:eastAsia="zh-CN"/>
        </w:rPr>
        <w:t>2022年度</w:t>
      </w:r>
      <w:r>
        <w:rPr>
          <w:rFonts w:hint="eastAsia" w:asciiTheme="majorEastAsia" w:hAnsiTheme="majorEastAsia" w:eastAsiaTheme="majorEastAsia" w:cstheme="majorEastAsia"/>
          <w:b/>
          <w:bCs/>
          <w:sz w:val="44"/>
          <w:szCs w:val="44"/>
        </w:rPr>
        <w:t>整体</w:t>
      </w:r>
      <w:r>
        <w:rPr>
          <w:rFonts w:hint="eastAsia" w:asciiTheme="majorEastAsia" w:hAnsiTheme="majorEastAsia" w:eastAsiaTheme="majorEastAsia" w:cstheme="majorEastAsia"/>
          <w:b/>
          <w:bCs/>
          <w:sz w:val="44"/>
          <w:szCs w:val="44"/>
          <w:lang w:eastAsia="zh-CN"/>
        </w:rPr>
        <w:t>支出</w:t>
      </w:r>
      <w:r>
        <w:rPr>
          <w:rFonts w:hint="eastAsia" w:asciiTheme="majorEastAsia" w:hAnsiTheme="majorEastAsia" w:eastAsiaTheme="majorEastAsia" w:cstheme="majorEastAsia"/>
          <w:b/>
          <w:bCs/>
          <w:sz w:val="44"/>
          <w:szCs w:val="44"/>
        </w:rPr>
        <w:t>绩效</w:t>
      </w:r>
      <w:r>
        <w:rPr>
          <w:rFonts w:hint="eastAsia" w:asciiTheme="majorEastAsia" w:hAnsiTheme="majorEastAsia" w:eastAsiaTheme="majorEastAsia" w:cstheme="majorEastAsia"/>
          <w:b/>
          <w:bCs/>
          <w:sz w:val="44"/>
          <w:szCs w:val="44"/>
          <w:lang w:eastAsia="zh-CN"/>
        </w:rPr>
        <w:t>自评报告</w:t>
      </w:r>
    </w:p>
    <w:p>
      <w:pPr>
        <w:jc w:val="center"/>
        <w:outlineLvl w:val="1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z w:val="32"/>
          <w:szCs w:val="32"/>
        </w:rPr>
        <w:fldChar w:fldCharType="begin"/>
      </w:r>
      <w:r>
        <w:rPr>
          <w:rFonts w:ascii="仿宋" w:hAnsi="仿宋" w:eastAsia="仿宋" w:cs="仿宋"/>
          <w:sz w:val="32"/>
          <w:szCs w:val="32"/>
        </w:rPr>
        <w:instrText xml:space="preserve"> </w:instrText>
      </w:r>
      <w:r>
        <w:rPr>
          <w:rFonts w:hint="eastAsia" w:ascii="仿宋" w:hAnsi="仿宋" w:eastAsia="仿宋" w:cs="仿宋"/>
          <w:sz w:val="32"/>
          <w:szCs w:val="32"/>
        </w:rPr>
        <w:instrText xml:space="preserve">TC </w:instrText>
      </w:r>
      <w:bookmarkStart w:id="0" w:name="_Toc28451468"/>
      <w:r>
        <w:rPr>
          <w:rFonts w:hint="eastAsia" w:ascii="仿宋" w:hAnsi="仿宋" w:eastAsia="仿宋" w:cs="仿宋"/>
          <w:sz w:val="32"/>
          <w:szCs w:val="32"/>
        </w:rPr>
        <w:instrText xml:space="preserve">总体绩效目标</w:instrText>
      </w:r>
      <w:bookmarkEnd w:id="0"/>
      <w:r>
        <w:rPr>
          <w:rFonts w:hint="eastAsia" w:ascii="仿宋" w:hAnsi="仿宋" w:eastAsia="仿宋" w:cs="仿宋"/>
          <w:sz w:val="32"/>
          <w:szCs w:val="32"/>
        </w:rPr>
        <w:instrText xml:space="preserve"> \f A \l 1</w:instrText>
      </w:r>
      <w:r>
        <w:rPr>
          <w:rFonts w:ascii="仿宋" w:hAnsi="仿宋" w:eastAsia="仿宋" w:cs="仿宋"/>
          <w:sz w:val="32"/>
          <w:szCs w:val="32"/>
        </w:rPr>
        <w:instrText xml:space="preserve"> </w:instrText>
      </w:r>
      <w:r>
        <w:rPr>
          <w:rFonts w:ascii="仿宋" w:hAnsi="仿宋" w:eastAsia="仿宋" w:cs="仿宋"/>
          <w:sz w:val="32"/>
          <w:szCs w:val="32"/>
        </w:rPr>
        <w:fldChar w:fldCharType="end"/>
      </w:r>
    </w:p>
    <w:p>
      <w:pPr>
        <w:spacing w:line="600" w:lineRule="exact"/>
        <w:ind w:firstLine="640" w:firstLineChars="200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贯彻落实市委市政府《关于全面落实预算绩效管理的实施意见》（石发【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2019】8号)文件精神，遵循“科学性、规范性、客观性和公正性”的原则，对石家庄职业技术学院2022年整体支出情况实施了财政支出绩效自评价，形成本评价报告。</w:t>
      </w:r>
    </w:p>
    <w:p>
      <w:pPr>
        <w:numPr>
          <w:ilvl w:val="0"/>
          <w:numId w:val="0"/>
        </w:numPr>
        <w:spacing w:before="156" w:beforeLines="50" w:after="156" w:afterLines="50" w:line="600" w:lineRule="exact"/>
        <w:ind w:firstLine="640" w:firstLineChars="200"/>
        <w:rPr>
          <w:rFonts w:hint="eastAsia" w:ascii="黑体" w:hAnsi="黑体" w:eastAsia="黑体" w:cs="黑体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sz w:val="32"/>
          <w:szCs w:val="32"/>
          <w:lang w:eastAsia="zh-CN"/>
        </w:rPr>
        <w:t>一、部门基本情况</w:t>
      </w:r>
    </w:p>
    <w:p>
      <w:pPr>
        <w:numPr>
          <w:ilvl w:val="0"/>
          <w:numId w:val="0"/>
        </w:numPr>
        <w:spacing w:before="156" w:beforeLines="50" w:after="156" w:afterLines="50" w:line="600" w:lineRule="exact"/>
        <w:ind w:firstLine="643" w:firstLineChars="200"/>
        <w:rPr>
          <w:rFonts w:hint="eastAsia" w:ascii="仿宋" w:hAnsi="仿宋" w:eastAsia="仿宋" w:cs="仿宋"/>
          <w:b/>
          <w:bCs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b/>
          <w:bCs/>
          <w:sz w:val="32"/>
          <w:szCs w:val="32"/>
          <w:lang w:eastAsia="zh-CN"/>
        </w:rPr>
        <w:t>（一）部门概况</w:t>
      </w:r>
    </w:p>
    <w:p>
      <w:pPr>
        <w:snapToGrid w:val="0"/>
        <w:spacing w:line="360" w:lineRule="auto"/>
        <w:ind w:left="640"/>
        <w:rPr>
          <w:rFonts w:hint="eastAsia" w:ascii="仿宋" w:hAnsi="仿宋" w:eastAsia="仿宋" w:cs="仿宋"/>
          <w:b/>
          <w:bCs/>
          <w:sz w:val="32"/>
          <w:szCs w:val="32"/>
        </w:rPr>
      </w:pPr>
      <w:r>
        <w:rPr>
          <w:rFonts w:hint="eastAsia" w:ascii="仿宋" w:hAnsi="仿宋" w:eastAsia="仿宋" w:cs="仿宋"/>
          <w:b/>
          <w:bCs/>
          <w:sz w:val="32"/>
          <w:szCs w:val="32"/>
        </w:rPr>
        <w:t>1、部门职责</w:t>
      </w:r>
    </w:p>
    <w:p>
      <w:pPr>
        <w:spacing w:before="0" w:after="0" w:line="500" w:lineRule="exact"/>
        <w:ind w:firstLine="560"/>
        <w:jc w:val="left"/>
        <w:outlineLvl w:val="9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color w:val="000000"/>
          <w:sz w:val="32"/>
          <w:szCs w:val="32"/>
        </w:rPr>
        <w:t>石家庄职业技术学院的主要职责是：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实施专科层次的高等职业技术教育，定位于融入社会发展和科技进步，培养具有良好职业精神和能力的高素质专业技术技能人才。</w:t>
      </w:r>
    </w:p>
    <w:p>
      <w:pPr>
        <w:spacing w:line="600" w:lineRule="exact"/>
        <w:ind w:firstLine="643" w:firstLineChars="200"/>
        <w:rPr>
          <w:rFonts w:hint="eastAsia" w:ascii="仿宋" w:hAnsi="仿宋" w:eastAsia="仿宋" w:cs="仿宋"/>
          <w:b/>
          <w:bCs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b/>
          <w:bCs/>
          <w:sz w:val="32"/>
          <w:szCs w:val="32"/>
          <w:lang w:eastAsia="zh-CN"/>
        </w:rPr>
        <w:t>2、机构设置及人员情况：</w:t>
      </w:r>
    </w:p>
    <w:tbl>
      <w:tblPr>
        <w:tblStyle w:val="3"/>
        <w:tblW w:w="10620" w:type="dxa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58"/>
        <w:gridCol w:w="780"/>
        <w:gridCol w:w="1080"/>
        <w:gridCol w:w="1335"/>
        <w:gridCol w:w="735"/>
        <w:gridCol w:w="540"/>
        <w:gridCol w:w="675"/>
        <w:gridCol w:w="555"/>
        <w:gridCol w:w="705"/>
        <w:gridCol w:w="465"/>
        <w:gridCol w:w="661"/>
        <w:gridCol w:w="531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13" w:hRule="atLeast"/>
          <w:tblHeader/>
          <w:jc w:val="center"/>
        </w:trPr>
        <w:tc>
          <w:tcPr>
            <w:tcW w:w="7028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spacing w:line="300" w:lineRule="exact"/>
              <w:jc w:val="left"/>
              <w:rPr>
                <w:rFonts w:ascii="方正小标宋_GBK" w:eastAsia="方正小标宋_GBK"/>
                <w:sz w:val="24"/>
              </w:rPr>
            </w:pPr>
          </w:p>
        </w:tc>
        <w:tc>
          <w:tcPr>
            <w:tcW w:w="3592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sz w:val="24"/>
              </w:rPr>
            </w:pPr>
            <w:r>
              <w:rPr>
                <w:rFonts w:hint="eastAsia" w:ascii="方正书宋_GBK" w:eastAsia="方正书宋_GBK"/>
                <w:sz w:val="24"/>
              </w:rPr>
              <w:t>单位：人（辆）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13" w:hRule="atLeast"/>
          <w:tblHeader/>
          <w:jc w:val="center"/>
        </w:trPr>
        <w:tc>
          <w:tcPr>
            <w:tcW w:w="2558" w:type="dxa"/>
            <w:vMerge w:val="restart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单位名称</w:t>
            </w:r>
          </w:p>
        </w:tc>
        <w:tc>
          <w:tcPr>
            <w:tcW w:w="780" w:type="dxa"/>
            <w:vMerge w:val="restart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单位性质</w:t>
            </w:r>
          </w:p>
        </w:tc>
        <w:tc>
          <w:tcPr>
            <w:tcW w:w="1080" w:type="dxa"/>
            <w:vMerge w:val="restart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单位规格</w:t>
            </w:r>
          </w:p>
        </w:tc>
        <w:tc>
          <w:tcPr>
            <w:tcW w:w="1335" w:type="dxa"/>
            <w:vMerge w:val="restart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经费保障形式</w:t>
            </w:r>
          </w:p>
        </w:tc>
        <w:tc>
          <w:tcPr>
            <w:tcW w:w="735" w:type="dxa"/>
            <w:vMerge w:val="restart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车辆实有数</w:t>
            </w:r>
          </w:p>
        </w:tc>
        <w:tc>
          <w:tcPr>
            <w:tcW w:w="1215" w:type="dxa"/>
            <w:gridSpan w:val="2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编制人数</w:t>
            </w:r>
          </w:p>
        </w:tc>
        <w:tc>
          <w:tcPr>
            <w:tcW w:w="1260" w:type="dxa"/>
            <w:gridSpan w:val="2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在职人数</w:t>
            </w:r>
          </w:p>
        </w:tc>
        <w:tc>
          <w:tcPr>
            <w:tcW w:w="1657" w:type="dxa"/>
            <w:gridSpan w:val="3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离退人数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13" w:hRule="atLeast"/>
          <w:tblHeader/>
          <w:jc w:val="center"/>
        </w:trPr>
        <w:tc>
          <w:tcPr>
            <w:tcW w:w="2558" w:type="dxa"/>
            <w:vMerge w:val="continue"/>
            <w:vAlign w:val="center"/>
          </w:tcPr>
          <w:p>
            <w:pPr>
              <w:spacing w:line="300" w:lineRule="exact"/>
              <w:jc w:val="left"/>
              <w:outlineLvl w:val="1"/>
              <w:rPr>
                <w:rFonts w:eastAsia="方正仿宋_GBK"/>
                <w:sz w:val="28"/>
              </w:rPr>
            </w:pPr>
          </w:p>
        </w:tc>
        <w:tc>
          <w:tcPr>
            <w:tcW w:w="780" w:type="dxa"/>
            <w:vMerge w:val="continue"/>
            <w:vAlign w:val="center"/>
          </w:tcPr>
          <w:p>
            <w:pPr>
              <w:spacing w:line="300" w:lineRule="exact"/>
              <w:jc w:val="left"/>
              <w:outlineLvl w:val="1"/>
              <w:rPr>
                <w:rFonts w:eastAsia="方正仿宋_GBK"/>
                <w:sz w:val="28"/>
              </w:rPr>
            </w:pPr>
          </w:p>
        </w:tc>
        <w:tc>
          <w:tcPr>
            <w:tcW w:w="1080" w:type="dxa"/>
            <w:vMerge w:val="continue"/>
            <w:vAlign w:val="center"/>
          </w:tcPr>
          <w:p>
            <w:pPr>
              <w:spacing w:line="300" w:lineRule="exact"/>
              <w:jc w:val="left"/>
              <w:outlineLvl w:val="1"/>
              <w:rPr>
                <w:rFonts w:eastAsia="方正仿宋_GBK"/>
                <w:sz w:val="28"/>
              </w:rPr>
            </w:pPr>
          </w:p>
        </w:tc>
        <w:tc>
          <w:tcPr>
            <w:tcW w:w="1335" w:type="dxa"/>
            <w:vMerge w:val="continue"/>
            <w:vAlign w:val="center"/>
          </w:tcPr>
          <w:p>
            <w:pPr>
              <w:spacing w:line="300" w:lineRule="exact"/>
              <w:jc w:val="left"/>
              <w:outlineLvl w:val="1"/>
              <w:rPr>
                <w:rFonts w:eastAsia="方正仿宋_GBK"/>
                <w:sz w:val="28"/>
              </w:rPr>
            </w:pPr>
          </w:p>
        </w:tc>
        <w:tc>
          <w:tcPr>
            <w:tcW w:w="735" w:type="dxa"/>
            <w:vMerge w:val="continue"/>
            <w:vAlign w:val="center"/>
          </w:tcPr>
          <w:p>
            <w:pPr>
              <w:spacing w:line="300" w:lineRule="exact"/>
              <w:jc w:val="left"/>
              <w:outlineLvl w:val="1"/>
              <w:rPr>
                <w:rFonts w:eastAsia="方正仿宋_GBK"/>
                <w:sz w:val="28"/>
              </w:rPr>
            </w:pPr>
          </w:p>
        </w:tc>
        <w:tc>
          <w:tcPr>
            <w:tcW w:w="540" w:type="dxa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行政</w:t>
            </w:r>
          </w:p>
        </w:tc>
        <w:tc>
          <w:tcPr>
            <w:tcW w:w="675" w:type="dxa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事业</w:t>
            </w:r>
          </w:p>
        </w:tc>
        <w:tc>
          <w:tcPr>
            <w:tcW w:w="555" w:type="dxa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行政</w:t>
            </w:r>
          </w:p>
        </w:tc>
        <w:tc>
          <w:tcPr>
            <w:tcW w:w="705" w:type="dxa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事业</w:t>
            </w:r>
          </w:p>
        </w:tc>
        <w:tc>
          <w:tcPr>
            <w:tcW w:w="465" w:type="dxa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离休</w:t>
            </w:r>
          </w:p>
        </w:tc>
        <w:tc>
          <w:tcPr>
            <w:tcW w:w="661" w:type="dxa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退休</w:t>
            </w:r>
          </w:p>
        </w:tc>
        <w:tc>
          <w:tcPr>
            <w:tcW w:w="531" w:type="dxa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退职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13" w:hRule="atLeast"/>
          <w:jc w:val="center"/>
        </w:trPr>
        <w:tc>
          <w:tcPr>
            <w:tcW w:w="2558" w:type="dxa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合</w:t>
            </w:r>
            <w:r>
              <w:rPr>
                <w:rFonts w:ascii="方正书宋_GBK" w:eastAsia="方正书宋_GBK"/>
                <w:b/>
              </w:rPr>
              <w:t xml:space="preserve">    </w:t>
            </w:r>
            <w:r>
              <w:rPr>
                <w:rFonts w:hint="eastAsia" w:ascii="方正书宋_GBK" w:eastAsia="方正书宋_GBK"/>
                <w:b/>
              </w:rPr>
              <w:t>计</w:t>
            </w:r>
          </w:p>
        </w:tc>
        <w:tc>
          <w:tcPr>
            <w:tcW w:w="780" w:type="dxa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</w:p>
        </w:tc>
        <w:tc>
          <w:tcPr>
            <w:tcW w:w="1080" w:type="dxa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</w:p>
        </w:tc>
        <w:tc>
          <w:tcPr>
            <w:tcW w:w="1335" w:type="dxa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</w:p>
        </w:tc>
        <w:tc>
          <w:tcPr>
            <w:tcW w:w="735" w:type="dxa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ascii="方正书宋_GBK" w:eastAsia="方正书宋_GBK"/>
                <w:b/>
              </w:rPr>
              <w:t>4</w:t>
            </w:r>
          </w:p>
        </w:tc>
        <w:tc>
          <w:tcPr>
            <w:tcW w:w="540" w:type="dxa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</w:p>
        </w:tc>
        <w:tc>
          <w:tcPr>
            <w:tcW w:w="675" w:type="dxa"/>
            <w:vAlign w:val="center"/>
          </w:tcPr>
          <w:p>
            <w:pPr>
              <w:spacing w:line="300" w:lineRule="exact"/>
              <w:jc w:val="center"/>
              <w:rPr>
                <w:rFonts w:hint="default" w:ascii="方正书宋_GBK" w:eastAsia="方正书宋_GBK"/>
                <w:b/>
                <w:lang w:val="en-US" w:eastAsia="zh-CN"/>
              </w:rPr>
            </w:pPr>
            <w:r>
              <w:rPr>
                <w:rFonts w:hint="eastAsia" w:ascii="方正书宋_GBK" w:eastAsia="方正书宋_GBK"/>
                <w:b/>
                <w:lang w:val="en-US" w:eastAsia="zh-CN"/>
              </w:rPr>
              <w:t>938</w:t>
            </w:r>
          </w:p>
        </w:tc>
        <w:tc>
          <w:tcPr>
            <w:tcW w:w="555" w:type="dxa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</w:p>
        </w:tc>
        <w:tc>
          <w:tcPr>
            <w:tcW w:w="705" w:type="dxa"/>
            <w:vAlign w:val="center"/>
          </w:tcPr>
          <w:p>
            <w:pPr>
              <w:spacing w:line="300" w:lineRule="exact"/>
              <w:jc w:val="center"/>
              <w:rPr>
                <w:rFonts w:hint="default" w:ascii="方正书宋_GBK" w:eastAsia="方正书宋_GBK"/>
                <w:b/>
                <w:lang w:val="en-US" w:eastAsia="zh-CN"/>
              </w:rPr>
            </w:pPr>
            <w:r>
              <w:rPr>
                <w:rFonts w:hint="eastAsia" w:ascii="方正书宋_GBK" w:eastAsia="方正书宋_GBK"/>
                <w:b/>
                <w:lang w:val="en-US" w:eastAsia="zh-CN"/>
              </w:rPr>
              <w:t>737</w:t>
            </w:r>
          </w:p>
        </w:tc>
        <w:tc>
          <w:tcPr>
            <w:tcW w:w="465" w:type="dxa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</w:p>
        </w:tc>
        <w:tc>
          <w:tcPr>
            <w:tcW w:w="661" w:type="dxa"/>
            <w:vAlign w:val="center"/>
          </w:tcPr>
          <w:p>
            <w:pPr>
              <w:spacing w:line="300" w:lineRule="exact"/>
              <w:jc w:val="center"/>
              <w:rPr>
                <w:rFonts w:hint="default" w:ascii="方正书宋_GBK" w:eastAsia="方正书宋_GBK"/>
                <w:b/>
                <w:lang w:val="en-US" w:eastAsia="zh-CN"/>
              </w:rPr>
            </w:pPr>
            <w:r>
              <w:rPr>
                <w:rFonts w:hint="eastAsia" w:ascii="方正书宋_GBK" w:eastAsia="方正书宋_GBK"/>
                <w:b/>
                <w:lang w:val="en-US" w:eastAsia="zh-CN"/>
              </w:rPr>
              <w:t>160</w:t>
            </w:r>
          </w:p>
        </w:tc>
        <w:tc>
          <w:tcPr>
            <w:tcW w:w="531" w:type="dxa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13" w:hRule="atLeast"/>
          <w:jc w:val="center"/>
        </w:trPr>
        <w:tc>
          <w:tcPr>
            <w:tcW w:w="2558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  <w:lang w:eastAsia="zh-CN"/>
              </w:rPr>
              <w:t>石家庄职业技术学院</w:t>
            </w:r>
            <w:r>
              <w:rPr>
                <w:rFonts w:hint="eastAsia" w:ascii="方正书宋_GBK" w:eastAsia="方正书宋_GBK"/>
              </w:rPr>
              <w:t>本级</w:t>
            </w:r>
          </w:p>
        </w:tc>
        <w:tc>
          <w:tcPr>
            <w:tcW w:w="780" w:type="dxa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事业</w:t>
            </w:r>
          </w:p>
        </w:tc>
        <w:tc>
          <w:tcPr>
            <w:tcW w:w="1080" w:type="dxa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副厅（地）级</w:t>
            </w:r>
          </w:p>
        </w:tc>
        <w:tc>
          <w:tcPr>
            <w:tcW w:w="1335" w:type="dxa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财政性资金基本保证</w:t>
            </w:r>
          </w:p>
        </w:tc>
        <w:tc>
          <w:tcPr>
            <w:tcW w:w="735" w:type="dxa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4</w:t>
            </w:r>
          </w:p>
        </w:tc>
        <w:tc>
          <w:tcPr>
            <w:tcW w:w="540" w:type="dxa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675" w:type="dxa"/>
            <w:vAlign w:val="center"/>
          </w:tcPr>
          <w:p>
            <w:pPr>
              <w:spacing w:line="300" w:lineRule="exact"/>
              <w:jc w:val="center"/>
              <w:rPr>
                <w:rFonts w:hint="default" w:ascii="方正书宋_GBK" w:eastAsia="方正书宋_GBK"/>
                <w:lang w:val="en-US" w:eastAsia="zh-CN"/>
              </w:rPr>
            </w:pPr>
            <w:r>
              <w:rPr>
                <w:rFonts w:hint="eastAsia" w:ascii="方正书宋_GBK" w:eastAsia="方正书宋_GBK"/>
                <w:lang w:val="en-US" w:eastAsia="zh-CN"/>
              </w:rPr>
              <w:t>938</w:t>
            </w:r>
          </w:p>
        </w:tc>
        <w:tc>
          <w:tcPr>
            <w:tcW w:w="555" w:type="dxa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705" w:type="dxa"/>
            <w:vAlign w:val="center"/>
          </w:tcPr>
          <w:p>
            <w:pPr>
              <w:spacing w:line="300" w:lineRule="exact"/>
              <w:jc w:val="center"/>
              <w:rPr>
                <w:rFonts w:hint="default" w:ascii="方正书宋_GBK" w:eastAsia="方正书宋_GBK"/>
                <w:lang w:val="en-US" w:eastAsia="zh-CN"/>
              </w:rPr>
            </w:pPr>
            <w:r>
              <w:rPr>
                <w:rFonts w:hint="eastAsia" w:ascii="方正书宋_GBK" w:eastAsia="方正书宋_GBK"/>
                <w:lang w:val="en-US" w:eastAsia="zh-CN"/>
              </w:rPr>
              <w:t>737</w:t>
            </w:r>
          </w:p>
        </w:tc>
        <w:tc>
          <w:tcPr>
            <w:tcW w:w="465" w:type="dxa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661" w:type="dxa"/>
            <w:vAlign w:val="center"/>
          </w:tcPr>
          <w:p>
            <w:pPr>
              <w:spacing w:line="300" w:lineRule="exact"/>
              <w:jc w:val="center"/>
              <w:rPr>
                <w:rFonts w:hint="default" w:ascii="方正书宋_GBK" w:eastAsia="方正书宋_GBK"/>
                <w:lang w:val="en-US" w:eastAsia="zh-CN"/>
              </w:rPr>
            </w:pPr>
            <w:r>
              <w:rPr>
                <w:rFonts w:hint="eastAsia" w:ascii="方正书宋_GBK" w:eastAsia="方正书宋_GBK"/>
                <w:lang w:val="en-US" w:eastAsia="zh-CN"/>
              </w:rPr>
              <w:t>160</w:t>
            </w:r>
          </w:p>
        </w:tc>
        <w:tc>
          <w:tcPr>
            <w:tcW w:w="531" w:type="dxa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</w:tr>
    </w:tbl>
    <w:p>
      <w:pPr>
        <w:numPr>
          <w:ilvl w:val="0"/>
          <w:numId w:val="0"/>
        </w:numPr>
        <w:spacing w:before="10" w:after="10"/>
        <w:ind w:firstLine="643" w:firstLineChars="200"/>
        <w:outlineLvl w:val="2"/>
        <w:rPr>
          <w:rFonts w:hint="eastAsia" w:ascii="仿宋" w:hAnsi="仿宋" w:eastAsia="仿宋" w:cs="仿宋"/>
          <w:b/>
          <w:bCs/>
          <w:color w:val="000000"/>
          <w:sz w:val="32"/>
        </w:rPr>
      </w:pPr>
      <w:bookmarkStart w:id="1" w:name="_Toc_3_3_0000000016"/>
      <w:r>
        <w:rPr>
          <w:rFonts w:hint="eastAsia" w:ascii="仿宋" w:hAnsi="仿宋" w:eastAsia="仿宋" w:cs="仿宋"/>
          <w:b/>
          <w:bCs/>
          <w:color w:val="000000"/>
          <w:sz w:val="32"/>
          <w:lang w:val="en-US" w:eastAsia="zh-CN"/>
        </w:rPr>
        <w:t>3、</w:t>
      </w:r>
      <w:r>
        <w:rPr>
          <w:rFonts w:hint="eastAsia" w:ascii="仿宋" w:hAnsi="仿宋" w:eastAsia="仿宋" w:cs="仿宋"/>
          <w:b/>
          <w:bCs/>
          <w:color w:val="000000"/>
          <w:sz w:val="32"/>
        </w:rPr>
        <w:t>资产信息</w:t>
      </w:r>
      <w:bookmarkEnd w:id="1"/>
    </w:p>
    <w:p>
      <w:pPr>
        <w:spacing w:line="600" w:lineRule="exact"/>
        <w:ind w:firstLine="640" w:firstLineChars="200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石家庄职业技术学院（含所属单位）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2022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年末资产总额为</w:t>
      </w:r>
      <w:r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  <w:t>355501.098448</w:t>
      </w:r>
      <w:r>
        <w:rPr>
          <w:rFonts w:hint="eastAsia" w:ascii="仿宋" w:hAnsi="仿宋" w:eastAsia="仿宋" w:cs="仿宋"/>
          <w:color w:val="auto"/>
          <w:sz w:val="32"/>
          <w:szCs w:val="32"/>
          <w:lang w:eastAsia="zh-CN"/>
        </w:rPr>
        <w:t>万元，其中流动资产共计</w:t>
      </w:r>
      <w:r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  <w:t>10773.696264</w:t>
      </w:r>
      <w:r>
        <w:rPr>
          <w:rFonts w:hint="eastAsia" w:ascii="仿宋" w:hAnsi="仿宋" w:eastAsia="仿宋" w:cs="仿宋"/>
          <w:color w:val="auto"/>
          <w:sz w:val="32"/>
          <w:szCs w:val="32"/>
          <w:lang w:eastAsia="zh-CN"/>
        </w:rPr>
        <w:t>万元，非流动资产金额共计</w:t>
      </w:r>
      <w:r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  <w:t>344727.402184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万元，资产稳定性较强。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600" w:lineRule="exact"/>
        <w:ind w:firstLine="643" w:firstLineChars="200"/>
        <w:textAlignment w:val="auto"/>
        <w:rPr>
          <w:rFonts w:hint="eastAsia" w:ascii="仿宋" w:hAnsi="仿宋" w:eastAsia="仿宋" w:cs="仿宋"/>
          <w:b/>
          <w:bCs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b/>
          <w:bCs/>
          <w:sz w:val="32"/>
          <w:szCs w:val="32"/>
          <w:lang w:eastAsia="zh-CN"/>
        </w:rPr>
        <w:t>（二）部门收支预决算情况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600" w:lineRule="exact"/>
        <w:ind w:firstLine="640" w:firstLineChars="200"/>
        <w:textAlignment w:val="auto"/>
        <w:rPr>
          <w:rFonts w:ascii="仿宋" w:hAnsi="仿宋" w:eastAsia="仿宋"/>
          <w:color w:val="000000"/>
          <w:sz w:val="32"/>
          <w:szCs w:val="32"/>
        </w:rPr>
      </w:pPr>
      <w:r>
        <w:rPr>
          <w:rFonts w:hint="eastAsia" w:ascii="仿宋" w:hAnsi="仿宋" w:eastAsia="仿宋"/>
          <w:color w:val="000000"/>
          <w:sz w:val="32"/>
          <w:szCs w:val="32"/>
        </w:rPr>
        <w:t>我院202</w:t>
      </w:r>
      <w:r>
        <w:rPr>
          <w:rFonts w:hint="eastAsia" w:ascii="仿宋" w:hAnsi="仿宋" w:eastAsia="仿宋"/>
          <w:color w:val="000000"/>
          <w:sz w:val="32"/>
          <w:szCs w:val="32"/>
          <w:lang w:val="en-US" w:eastAsia="zh-CN"/>
        </w:rPr>
        <w:t>2</w:t>
      </w:r>
      <w:r>
        <w:rPr>
          <w:rFonts w:hint="eastAsia" w:ascii="仿宋" w:hAnsi="仿宋" w:eastAsia="仿宋"/>
          <w:color w:val="000000"/>
          <w:sz w:val="32"/>
          <w:szCs w:val="32"/>
        </w:rPr>
        <w:t>年预算收入为</w:t>
      </w:r>
      <w:r>
        <w:rPr>
          <w:rFonts w:hint="eastAsia" w:ascii="仿宋" w:hAnsi="仿宋" w:eastAsia="仿宋"/>
          <w:color w:val="000000"/>
          <w:sz w:val="32"/>
          <w:szCs w:val="32"/>
          <w:lang w:val="en-US" w:eastAsia="zh-CN"/>
        </w:rPr>
        <w:t>49223.69</w:t>
      </w:r>
      <w:r>
        <w:rPr>
          <w:rFonts w:hint="eastAsia" w:ascii="仿宋" w:hAnsi="仿宋" w:eastAsia="仿宋"/>
          <w:color w:val="000000"/>
          <w:sz w:val="32"/>
          <w:szCs w:val="32"/>
        </w:rPr>
        <w:t>万元，决算总收入是45201</w:t>
      </w:r>
      <w:r>
        <w:rPr>
          <w:rFonts w:hint="eastAsia" w:ascii="仿宋" w:hAnsi="仿宋" w:eastAsia="仿宋"/>
          <w:color w:val="000000"/>
          <w:sz w:val="32"/>
          <w:szCs w:val="32"/>
          <w:lang w:val="en-US" w:eastAsia="zh-CN"/>
        </w:rPr>
        <w:t>.33</w:t>
      </w:r>
      <w:r>
        <w:rPr>
          <w:rFonts w:hint="eastAsia" w:ascii="仿宋" w:hAnsi="仿宋" w:eastAsia="仿宋"/>
          <w:color w:val="000000"/>
          <w:sz w:val="32"/>
          <w:szCs w:val="32"/>
        </w:rPr>
        <w:t>万元。202</w:t>
      </w:r>
      <w:r>
        <w:rPr>
          <w:rFonts w:hint="eastAsia" w:ascii="仿宋" w:hAnsi="仿宋" w:eastAsia="仿宋"/>
          <w:color w:val="000000"/>
          <w:sz w:val="32"/>
          <w:szCs w:val="32"/>
          <w:lang w:val="en-US" w:eastAsia="zh-CN"/>
        </w:rPr>
        <w:t>2</w:t>
      </w:r>
      <w:r>
        <w:rPr>
          <w:rFonts w:hint="eastAsia" w:ascii="仿宋" w:hAnsi="仿宋" w:eastAsia="仿宋"/>
          <w:color w:val="000000"/>
          <w:sz w:val="32"/>
          <w:szCs w:val="32"/>
        </w:rPr>
        <w:t>年预算总支出是</w:t>
      </w:r>
      <w:r>
        <w:rPr>
          <w:rFonts w:hint="eastAsia" w:ascii="仿宋" w:hAnsi="仿宋" w:eastAsia="仿宋"/>
          <w:color w:val="000000"/>
          <w:sz w:val="32"/>
          <w:szCs w:val="32"/>
          <w:lang w:val="en-US" w:eastAsia="zh-CN"/>
        </w:rPr>
        <w:t>49223.69</w:t>
      </w:r>
      <w:r>
        <w:rPr>
          <w:rFonts w:hint="eastAsia" w:ascii="仿宋" w:hAnsi="仿宋" w:eastAsia="仿宋"/>
          <w:color w:val="000000"/>
          <w:sz w:val="32"/>
          <w:szCs w:val="32"/>
        </w:rPr>
        <w:t>万元，决算总支出是</w:t>
      </w:r>
      <w:r>
        <w:rPr>
          <w:rFonts w:hint="eastAsia" w:ascii="仿宋" w:hAnsi="仿宋" w:eastAsia="仿宋"/>
          <w:color w:val="000000"/>
          <w:sz w:val="32"/>
          <w:szCs w:val="32"/>
          <w:lang w:val="en-US" w:eastAsia="zh-CN"/>
        </w:rPr>
        <w:t>46843.64</w:t>
      </w:r>
      <w:r>
        <w:rPr>
          <w:rFonts w:hint="eastAsia" w:ascii="仿宋" w:hAnsi="仿宋" w:eastAsia="仿宋"/>
          <w:color w:val="000000"/>
          <w:sz w:val="32"/>
          <w:szCs w:val="32"/>
        </w:rPr>
        <w:t>万元。实际收入与实际支出差异主要原因是</w:t>
      </w:r>
      <w:r>
        <w:rPr>
          <w:rFonts w:hint="eastAsia" w:ascii="仿宋_GB2312" w:hAnsi="仿宋" w:eastAsia="仿宋_GB2312" w:cs="仿宋"/>
          <w:bCs/>
          <w:color w:val="000000"/>
          <w:sz w:val="32"/>
          <w:szCs w:val="32"/>
        </w:rPr>
        <w:t>2021年财政</w:t>
      </w:r>
      <w:r>
        <w:rPr>
          <w:rFonts w:hint="eastAsia" w:ascii="仿宋_GB2312" w:hAnsi="仿宋" w:eastAsia="仿宋_GB2312" w:cs="仿宋"/>
          <w:bCs/>
          <w:sz w:val="32"/>
          <w:szCs w:val="32"/>
        </w:rPr>
        <w:t>结转</w:t>
      </w:r>
      <w:r>
        <w:rPr>
          <w:rFonts w:hint="eastAsia" w:ascii="仿宋_GB2312" w:hAnsi="仿宋" w:eastAsia="仿宋_GB2312" w:cs="仿宋"/>
          <w:bCs/>
          <w:sz w:val="32"/>
          <w:szCs w:val="32"/>
          <w:lang w:val="en-US" w:eastAsia="zh-CN"/>
        </w:rPr>
        <w:t>人员经费1873.88万元实现全部支出</w:t>
      </w:r>
      <w:r>
        <w:rPr>
          <w:rFonts w:hint="eastAsia" w:ascii="仿宋" w:hAnsi="仿宋" w:eastAsia="仿宋"/>
          <w:color w:val="000000"/>
          <w:sz w:val="32"/>
          <w:szCs w:val="32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60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其中，202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年调整后项目预算为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27782.57223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万元，实际支出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23948.834647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万元，结余结转下年资金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2332.305493万元。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剩余资金未支出完，年底财政收回。</w:t>
      </w:r>
    </w:p>
    <w:p>
      <w:pPr>
        <w:spacing w:line="600" w:lineRule="exact"/>
        <w:ind w:firstLine="643" w:firstLineChars="200"/>
        <w:rPr>
          <w:rFonts w:hint="eastAsia" w:ascii="仿宋" w:hAnsi="仿宋" w:eastAsia="仿宋" w:cs="仿宋"/>
          <w:b/>
          <w:bCs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b/>
          <w:bCs/>
          <w:sz w:val="32"/>
          <w:szCs w:val="32"/>
          <w:lang w:eastAsia="zh-CN"/>
        </w:rPr>
        <w:t>（三）部门整体支出绩效目标、指标</w:t>
      </w:r>
    </w:p>
    <w:p>
      <w:pPr>
        <w:spacing w:line="600" w:lineRule="exact"/>
        <w:ind w:firstLine="640" w:firstLineChars="200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学院以全日制高等职业教育为主体，不断深化教育教学改革，提升教师科技研发能力，积极推进学院教育教学发展。学生参加省部级以上职业院校技能大赛参与人数不少于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80人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，建设精品在线开放课程门数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不少于8门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，科研项目研究达到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35项以上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；强化以广播电视教育（开放教育）、社区教育为“两翼”服务模式的办学格局，努力拓宽职业教育办学途径和服务领域。开放大学招生规模达到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4000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人以上，各项办学形式学生年度按期毕业率大于70%，全年社区教育的服务人次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3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万人；加强学生教育管理工作，提高学生综合素质。开展文体活动、社会实践活动和思想教育活动不少于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30项，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毕业生就业率高于90%；积极落实国家奖助补政策，及时足额发放到位，确保困难学生顺利完成学业，受助学生满意度90%以上；以教育部职业教育提质培优行动计划为导向，优化教育结构，购置及更新教学、实训设备，完善基地建设，提高教学实训质量，促进高水平专业建设发展。购置教学、实训设备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96台（套）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，验收合格率100%。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积极争取上级部门的支持和帮助，推动正定新校区搬迁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640" w:firstLineChars="200"/>
        <w:jc w:val="left"/>
        <w:textAlignment w:val="auto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二、自评工作</w:t>
      </w:r>
      <w:r>
        <w:rPr>
          <w:rFonts w:hint="eastAsia" w:ascii="黑体" w:hAnsi="黑体" w:eastAsia="黑体" w:cs="黑体"/>
          <w:sz w:val="32"/>
          <w:szCs w:val="32"/>
          <w:lang w:eastAsia="zh-CN"/>
        </w:rPr>
        <w:t>开展</w:t>
      </w:r>
      <w:r>
        <w:rPr>
          <w:rFonts w:hint="eastAsia" w:ascii="黑体" w:hAnsi="黑体" w:eastAsia="黑体" w:cs="黑体"/>
          <w:sz w:val="32"/>
          <w:szCs w:val="32"/>
        </w:rPr>
        <w:t>情况</w:t>
      </w:r>
    </w:p>
    <w:p>
      <w:pPr>
        <w:spacing w:line="360" w:lineRule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 xml:space="preserve">    </w:t>
      </w:r>
      <w:r>
        <w:rPr>
          <w:rFonts w:hint="eastAsia" w:ascii="仿宋" w:hAnsi="仿宋" w:eastAsia="仿宋" w:cs="仿宋"/>
          <w:b/>
          <w:bCs/>
          <w:sz w:val="32"/>
          <w:szCs w:val="32"/>
        </w:rPr>
        <w:t>（一）自评的组织工作</w:t>
      </w:r>
    </w:p>
    <w:p>
      <w:pPr>
        <w:spacing w:line="360" w:lineRule="auto"/>
        <w:ind w:firstLine="640" w:firstLineChars="200"/>
        <w:rPr>
          <w:rFonts w:hint="eastAsia" w:ascii="仿宋" w:hAnsi="仿宋" w:eastAsia="仿宋" w:cs="仿宋"/>
          <w:sz w:val="30"/>
          <w:szCs w:val="30"/>
          <w:lang w:eastAsia="zh-CN"/>
        </w:rPr>
      </w:pPr>
      <w:r>
        <w:rPr>
          <w:rFonts w:hint="eastAsia" w:ascii="仿宋" w:hAnsi="仿宋" w:eastAsia="仿宋" w:cs="仿宋"/>
          <w:sz w:val="32"/>
          <w:szCs w:val="32"/>
        </w:rPr>
        <w:t>为了推进绩效自评工作健康有序开展，根据石家庄市财政局《关于开展202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3</w:t>
      </w:r>
      <w:r>
        <w:rPr>
          <w:rFonts w:hint="eastAsia" w:ascii="仿宋" w:hAnsi="仿宋" w:eastAsia="仿宋" w:cs="仿宋"/>
          <w:sz w:val="32"/>
          <w:szCs w:val="32"/>
        </w:rPr>
        <w:t>年绩效自评工作的通知》（石财监【20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23</w:t>
      </w:r>
      <w:r>
        <w:rPr>
          <w:rFonts w:hint="eastAsia" w:ascii="仿宋" w:hAnsi="仿宋" w:eastAsia="仿宋" w:cs="仿宋"/>
          <w:sz w:val="32"/>
          <w:szCs w:val="32"/>
        </w:rPr>
        <w:t>】1号）,按照全覆盖原则，我院成立绩效自评工作小组，</w:t>
      </w:r>
      <w:r>
        <w:rPr>
          <w:rFonts w:hint="eastAsia" w:ascii="仿宋_GB2312" w:eastAsia="仿宋_GB2312"/>
          <w:sz w:val="32"/>
          <w:szCs w:val="32"/>
        </w:rPr>
        <w:t>制定工作方案、评价方法和步骤时限等内容。</w:t>
      </w:r>
      <w:r>
        <w:rPr>
          <w:rFonts w:hint="eastAsia" w:ascii="仿宋" w:hAnsi="仿宋" w:eastAsia="仿宋" w:cs="仿宋"/>
          <w:sz w:val="32"/>
          <w:szCs w:val="32"/>
        </w:rPr>
        <w:t>学校自评工作组对照工作内容，分解各项目绩效自评工作至相关处室，明确各项目绩效自评牵头部门和负责人，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各部门对各自项目认真梳理，</w:t>
      </w:r>
      <w:r>
        <w:rPr>
          <w:rFonts w:hint="eastAsia" w:ascii="仿宋" w:hAnsi="仿宋" w:eastAsia="仿宋" w:cs="仿宋"/>
          <w:sz w:val="30"/>
          <w:szCs w:val="30"/>
          <w:lang w:eastAsia="zh-CN"/>
        </w:rPr>
        <w:t>总结成绩和不足，并提出改进方向，填报了</w:t>
      </w:r>
      <w:r>
        <w:rPr>
          <w:rFonts w:hint="eastAsia" w:ascii="仿宋" w:hAnsi="仿宋" w:eastAsia="仿宋" w:cs="仿宋"/>
          <w:sz w:val="30"/>
          <w:szCs w:val="30"/>
        </w:rPr>
        <w:t>《预算项目绩效自评表》</w:t>
      </w:r>
      <w:r>
        <w:rPr>
          <w:rFonts w:hint="eastAsia" w:ascii="仿宋" w:hAnsi="仿宋" w:eastAsia="仿宋" w:cs="仿宋"/>
          <w:sz w:val="30"/>
          <w:szCs w:val="30"/>
          <w:lang w:eastAsia="zh-CN"/>
        </w:rPr>
        <w:t>。</w:t>
      </w:r>
    </w:p>
    <w:p>
      <w:pPr>
        <w:spacing w:line="360" w:lineRule="auto"/>
        <w:ind w:firstLine="660"/>
        <w:rPr>
          <w:rFonts w:hint="eastAsia" w:ascii="仿宋" w:hAnsi="仿宋" w:eastAsia="仿宋" w:cs="仿宋"/>
          <w:b/>
          <w:bCs/>
          <w:sz w:val="32"/>
          <w:szCs w:val="32"/>
        </w:rPr>
      </w:pPr>
      <w:r>
        <w:rPr>
          <w:rFonts w:hint="eastAsia" w:ascii="仿宋" w:hAnsi="仿宋" w:eastAsia="仿宋" w:cs="仿宋"/>
          <w:b/>
          <w:bCs/>
          <w:sz w:val="32"/>
          <w:szCs w:val="32"/>
        </w:rPr>
        <w:t>（二）自评的方法和过程</w:t>
      </w:r>
    </w:p>
    <w:p>
      <w:pPr>
        <w:adjustRightInd w:val="0"/>
        <w:snapToGrid w:val="0"/>
        <w:spacing w:line="360" w:lineRule="auto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  <w:lang w:eastAsia="zh-CN"/>
        </w:rPr>
        <w:t>经过收集资料、询问调查、</w:t>
      </w:r>
      <w:r>
        <w:rPr>
          <w:rFonts w:hint="eastAsia" w:ascii="仿宋_GB2312" w:eastAsia="仿宋_GB2312"/>
          <w:sz w:val="32"/>
          <w:szCs w:val="32"/>
        </w:rPr>
        <w:t>整理</w:t>
      </w:r>
      <w:r>
        <w:rPr>
          <w:rFonts w:hint="eastAsia" w:ascii="仿宋_GB2312" w:eastAsia="仿宋_GB2312"/>
          <w:sz w:val="32"/>
          <w:szCs w:val="32"/>
          <w:lang w:eastAsia="zh-CN"/>
        </w:rPr>
        <w:t>资料和综合</w:t>
      </w:r>
      <w:r>
        <w:rPr>
          <w:rFonts w:hint="eastAsia" w:ascii="仿宋_GB2312" w:eastAsia="仿宋_GB2312"/>
          <w:sz w:val="32"/>
          <w:szCs w:val="32"/>
        </w:rPr>
        <w:t>分析</w:t>
      </w:r>
      <w:r>
        <w:rPr>
          <w:rFonts w:hint="eastAsia" w:ascii="仿宋_GB2312" w:eastAsia="仿宋_GB2312"/>
          <w:sz w:val="32"/>
          <w:szCs w:val="32"/>
          <w:lang w:eastAsia="zh-CN"/>
        </w:rPr>
        <w:t>等程序后</w:t>
      </w:r>
      <w:r>
        <w:rPr>
          <w:rFonts w:hint="eastAsia" w:ascii="仿宋_GB2312" w:eastAsia="仿宋_GB2312"/>
          <w:sz w:val="32"/>
          <w:szCs w:val="32"/>
        </w:rPr>
        <w:t>，</w:t>
      </w:r>
      <w:r>
        <w:rPr>
          <w:rFonts w:hint="eastAsia" w:ascii="仿宋_GB2312" w:eastAsia="仿宋_GB2312"/>
          <w:sz w:val="32"/>
          <w:szCs w:val="32"/>
          <w:lang w:eastAsia="zh-CN"/>
        </w:rPr>
        <w:t>评价小组</w:t>
      </w:r>
      <w:r>
        <w:rPr>
          <w:rFonts w:hint="eastAsia" w:ascii="仿宋" w:hAnsi="仿宋" w:eastAsia="仿宋" w:cs="仿宋"/>
          <w:sz w:val="32"/>
          <w:szCs w:val="32"/>
        </w:rPr>
        <w:t>作出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最终</w:t>
      </w:r>
      <w:r>
        <w:rPr>
          <w:rFonts w:hint="eastAsia" w:ascii="仿宋" w:hAnsi="仿宋" w:eastAsia="仿宋" w:cs="仿宋"/>
          <w:sz w:val="32"/>
          <w:szCs w:val="32"/>
        </w:rPr>
        <w:t>评价，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形成了本次绩效自评报告，</w:t>
      </w:r>
      <w:r>
        <w:rPr>
          <w:rFonts w:hint="eastAsia" w:ascii="仿宋" w:hAnsi="仿宋" w:eastAsia="仿宋" w:cs="仿宋"/>
          <w:sz w:val="32"/>
          <w:szCs w:val="32"/>
        </w:rPr>
        <w:t>评价结果科学规范、</w:t>
      </w:r>
      <w:r>
        <w:rPr>
          <w:rFonts w:hint="eastAsia" w:ascii="仿宋_GB2312" w:eastAsia="仿宋_GB2312"/>
          <w:sz w:val="32"/>
          <w:szCs w:val="32"/>
        </w:rPr>
        <w:t>客观公正。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line="360" w:lineRule="auto"/>
        <w:ind w:firstLine="640" w:firstLineChars="200"/>
        <w:textAlignment w:val="auto"/>
        <w:rPr>
          <w:rFonts w:hint="eastAsia" w:ascii="黑体" w:hAnsi="黑体" w:eastAsia="黑体" w:cs="黑体"/>
          <w:color w:val="000000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color w:val="000000"/>
          <w:sz w:val="32"/>
          <w:szCs w:val="32"/>
          <w:lang w:eastAsia="zh-CN"/>
        </w:rPr>
        <w:t>三、部门整体支出绩效目标实现情况及指标分析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line="360" w:lineRule="auto"/>
        <w:ind w:firstLine="643" w:firstLineChars="200"/>
        <w:textAlignment w:val="auto"/>
        <w:rPr>
          <w:rFonts w:hint="eastAsia" w:ascii="仿宋" w:hAnsi="仿宋" w:eastAsia="仿宋" w:cs="仿宋"/>
          <w:b/>
          <w:bCs/>
          <w:sz w:val="32"/>
          <w:szCs w:val="32"/>
        </w:rPr>
      </w:pPr>
      <w:r>
        <w:rPr>
          <w:rFonts w:hint="eastAsia" w:ascii="仿宋" w:hAnsi="仿宋" w:eastAsia="仿宋" w:cs="仿宋"/>
          <w:b/>
          <w:bCs/>
          <w:sz w:val="32"/>
          <w:szCs w:val="32"/>
          <w:lang w:eastAsia="zh-CN"/>
        </w:rPr>
        <w:t>（</w:t>
      </w:r>
      <w:r>
        <w:rPr>
          <w:rFonts w:hint="eastAsia" w:ascii="仿宋" w:hAnsi="仿宋" w:eastAsia="仿宋" w:cs="仿宋"/>
          <w:b/>
          <w:bCs/>
          <w:sz w:val="32"/>
          <w:szCs w:val="32"/>
        </w:rPr>
        <w:t>一</w:t>
      </w:r>
      <w:r>
        <w:rPr>
          <w:rFonts w:hint="eastAsia" w:ascii="仿宋" w:hAnsi="仿宋" w:eastAsia="仿宋" w:cs="仿宋"/>
          <w:b/>
          <w:bCs/>
          <w:sz w:val="32"/>
          <w:szCs w:val="32"/>
          <w:lang w:eastAsia="zh-CN"/>
        </w:rPr>
        <w:t>）</w:t>
      </w:r>
      <w:r>
        <w:rPr>
          <w:rFonts w:hint="eastAsia" w:ascii="仿宋" w:hAnsi="仿宋" w:eastAsia="仿宋" w:cs="仿宋"/>
          <w:b/>
          <w:bCs/>
          <w:sz w:val="32"/>
          <w:szCs w:val="32"/>
        </w:rPr>
        <w:t>总体绩效目标完成情况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pacing w:line="360" w:lineRule="auto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仿宋"/>
          <w:color w:val="auto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</w:rPr>
        <w:t>坚持以习近平新时代中国特色社会主义思想为指导，全面贯彻落实十九大报告精神，学院以全日制高等职业教育为主体，持续深化教育教学改革，教师科技研发能力正在稳步提升，积极推进学院教育教学发展。强化以广播电视教育（开放教育）、社区教育为“两翼”服务模式的办学格局，努力拓宽职业教育办学途径和服务领域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，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结合疫情形势下的工作现状，积极拓展线上板块内容。</w:t>
      </w:r>
      <w:r>
        <w:rPr>
          <w:rFonts w:hint="eastAsia" w:ascii="仿宋" w:hAnsi="仿宋" w:eastAsia="仿宋" w:cs="仿宋"/>
          <w:sz w:val="32"/>
          <w:szCs w:val="32"/>
        </w:rPr>
        <w:t>加强学生教育管理工作，</w:t>
      </w:r>
      <w:r>
        <w:rPr>
          <w:rFonts w:hint="eastAsia" w:ascii="仿宋" w:hAnsi="仿宋" w:eastAsia="仿宋" w:cs="仿宋"/>
          <w:color w:val="auto"/>
          <w:sz w:val="32"/>
          <w:szCs w:val="32"/>
        </w:rPr>
        <w:t>在条件和政策允许的情况下</w:t>
      </w:r>
      <w:r>
        <w:rPr>
          <w:rFonts w:hint="eastAsia" w:ascii="仿宋" w:hAnsi="仿宋" w:eastAsia="仿宋" w:cs="仿宋"/>
          <w:color w:val="auto"/>
          <w:sz w:val="32"/>
          <w:szCs w:val="32"/>
          <w:lang w:eastAsia="zh-CN"/>
        </w:rPr>
        <w:t>，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开展多样化活动，</w:t>
      </w:r>
      <w:r>
        <w:rPr>
          <w:rFonts w:hint="eastAsia" w:ascii="仿宋" w:hAnsi="仿宋" w:eastAsia="仿宋" w:cs="仿宋"/>
          <w:sz w:val="32"/>
          <w:szCs w:val="32"/>
        </w:rPr>
        <w:t>丰富学生的课余文化生活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。</w:t>
      </w:r>
      <w:r>
        <w:rPr>
          <w:rFonts w:hint="eastAsia" w:ascii="仿宋" w:hAnsi="仿宋" w:eastAsia="仿宋" w:cs="仿宋"/>
          <w:sz w:val="32"/>
          <w:szCs w:val="32"/>
        </w:rPr>
        <w:t>积极落实国家奖助补政策，及时发放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学生资助</w:t>
      </w:r>
      <w:r>
        <w:rPr>
          <w:rFonts w:hint="eastAsia" w:ascii="仿宋" w:hAnsi="仿宋" w:eastAsia="仿宋" w:cs="仿宋"/>
          <w:sz w:val="32"/>
          <w:szCs w:val="32"/>
        </w:rPr>
        <w:t>金，确保困难学生顺利完成学业。以教育部高等职业教育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提质培优行动计划为</w:t>
      </w:r>
      <w:r>
        <w:rPr>
          <w:rFonts w:hint="eastAsia" w:ascii="仿宋" w:hAnsi="仿宋" w:eastAsia="仿宋" w:cs="仿宋"/>
          <w:sz w:val="32"/>
          <w:szCs w:val="32"/>
        </w:rPr>
        <w:t>导向，积极推进教师培养和企业能工巧匠引进力度，促进高水平专业建设发展。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加强与上级部门的沟通，</w:t>
      </w:r>
      <w:r>
        <w:rPr>
          <w:rFonts w:hint="eastAsia" w:ascii="仿宋" w:hAnsi="仿宋" w:eastAsia="仿宋" w:cs="仿宋"/>
          <w:sz w:val="32"/>
          <w:szCs w:val="32"/>
        </w:rPr>
        <w:t>积极争取上</w:t>
      </w:r>
      <w:r>
        <w:rPr>
          <w:rFonts w:hint="eastAsia" w:ascii="仿宋" w:hAnsi="仿宋" w:eastAsia="仿宋" w:cs="仿宋"/>
          <w:color w:val="auto"/>
          <w:sz w:val="32"/>
          <w:szCs w:val="32"/>
          <w:lang w:eastAsia="zh-CN"/>
        </w:rPr>
        <w:t>级部门的支持和帮助，努力推进正定新区新校区搬迁工作，受疫情影响，新校区被征用为方舱医院，搬迁工作进度受到影响。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pacing w:line="360" w:lineRule="auto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color w:val="auto"/>
          <w:sz w:val="32"/>
          <w:szCs w:val="32"/>
          <w:lang w:eastAsia="zh-CN"/>
        </w:rPr>
        <w:t>本年度学院项目绩效目标完成情况良好，各项职能履行的很好，取得了预期的效果</w:t>
      </w:r>
      <w:r>
        <w:rPr>
          <w:rFonts w:hint="eastAsia" w:ascii="仿宋_GB2312" w:eastAsia="仿宋_GB2312"/>
          <w:sz w:val="32"/>
          <w:szCs w:val="32"/>
        </w:rPr>
        <w:t>。教育教学、</w:t>
      </w:r>
      <w:r>
        <w:rPr>
          <w:rFonts w:hint="eastAsia" w:ascii="仿宋_GB2312" w:eastAsia="仿宋_GB2312"/>
          <w:sz w:val="32"/>
          <w:szCs w:val="32"/>
          <w:lang w:eastAsia="zh-CN"/>
        </w:rPr>
        <w:t>科技</w:t>
      </w:r>
      <w:r>
        <w:rPr>
          <w:rFonts w:hint="eastAsia" w:ascii="仿宋_GB2312" w:eastAsia="仿宋_GB2312"/>
          <w:sz w:val="32"/>
          <w:szCs w:val="32"/>
        </w:rPr>
        <w:t>研究、学生</w:t>
      </w:r>
      <w:r>
        <w:rPr>
          <w:rFonts w:hint="eastAsia" w:ascii="仿宋_GB2312" w:eastAsia="仿宋_GB2312"/>
          <w:sz w:val="32"/>
          <w:szCs w:val="32"/>
          <w:lang w:eastAsia="zh-CN"/>
        </w:rPr>
        <w:t>教育</w:t>
      </w:r>
      <w:r>
        <w:rPr>
          <w:rFonts w:hint="eastAsia" w:ascii="仿宋_GB2312" w:eastAsia="仿宋_GB2312"/>
          <w:sz w:val="32"/>
          <w:szCs w:val="32"/>
        </w:rPr>
        <w:t>、</w:t>
      </w:r>
      <w:r>
        <w:rPr>
          <w:rFonts w:hint="eastAsia" w:ascii="仿宋_GB2312" w:eastAsia="仿宋_GB2312"/>
          <w:sz w:val="32"/>
          <w:szCs w:val="32"/>
          <w:lang w:eastAsia="zh-CN"/>
        </w:rPr>
        <w:t>专业建设、</w:t>
      </w:r>
      <w:r>
        <w:rPr>
          <w:rFonts w:hint="eastAsia" w:ascii="仿宋_GB2312" w:eastAsia="仿宋_GB2312"/>
          <w:sz w:val="32"/>
          <w:szCs w:val="32"/>
        </w:rPr>
        <w:t>服务社会能力均有所提高</w:t>
      </w:r>
      <w:r>
        <w:rPr>
          <w:rFonts w:hint="eastAsia" w:ascii="仿宋_GB2312" w:eastAsia="仿宋_GB2312"/>
          <w:sz w:val="32"/>
          <w:szCs w:val="32"/>
          <w:lang w:eastAsia="zh-CN"/>
        </w:rPr>
        <w:t>，新校区搬迁工作继续稳步推进</w:t>
      </w:r>
      <w:r>
        <w:rPr>
          <w:rFonts w:hint="eastAsia" w:ascii="仿宋_GB2312" w:eastAsia="仿宋_GB2312"/>
          <w:sz w:val="32"/>
          <w:szCs w:val="32"/>
        </w:rPr>
        <w:t>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pacing w:line="360" w:lineRule="auto"/>
        <w:ind w:right="0" w:firstLine="643" w:firstLineChars="200"/>
        <w:textAlignment w:val="auto"/>
        <w:outlineLvl w:val="9"/>
        <w:rPr>
          <w:rFonts w:hint="eastAsia" w:ascii="仿宋" w:hAnsi="仿宋" w:eastAsia="仿宋" w:cs="仿宋"/>
          <w:b/>
          <w:bCs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b/>
          <w:bCs/>
          <w:sz w:val="32"/>
          <w:szCs w:val="32"/>
          <w:lang w:eastAsia="zh-CN"/>
        </w:rPr>
        <w:t>（</w:t>
      </w:r>
      <w:r>
        <w:rPr>
          <w:rFonts w:hint="eastAsia" w:ascii="仿宋" w:hAnsi="仿宋" w:eastAsia="仿宋" w:cs="仿宋"/>
          <w:b/>
          <w:bCs/>
          <w:sz w:val="32"/>
          <w:szCs w:val="32"/>
        </w:rPr>
        <w:t>二</w:t>
      </w:r>
      <w:r>
        <w:rPr>
          <w:rFonts w:hint="eastAsia" w:ascii="仿宋" w:hAnsi="仿宋" w:eastAsia="仿宋" w:cs="仿宋"/>
          <w:b/>
          <w:bCs/>
          <w:sz w:val="32"/>
          <w:szCs w:val="32"/>
          <w:lang w:eastAsia="zh-CN"/>
        </w:rPr>
        <w:t>）</w:t>
      </w:r>
      <w:r>
        <w:rPr>
          <w:rFonts w:hint="eastAsia" w:ascii="仿宋" w:hAnsi="仿宋" w:eastAsia="仿宋" w:cs="仿宋"/>
          <w:b/>
          <w:bCs/>
          <w:sz w:val="32"/>
          <w:szCs w:val="32"/>
        </w:rPr>
        <w:t>分项绩效目标</w:t>
      </w:r>
      <w:r>
        <w:rPr>
          <w:rFonts w:hint="eastAsia" w:ascii="仿宋" w:hAnsi="仿宋" w:eastAsia="仿宋" w:cs="仿宋"/>
          <w:b/>
          <w:bCs/>
          <w:sz w:val="32"/>
          <w:szCs w:val="32"/>
          <w:lang w:eastAsia="zh-CN"/>
        </w:rPr>
        <w:t>实现</w:t>
      </w:r>
      <w:r>
        <w:rPr>
          <w:rFonts w:hint="eastAsia" w:ascii="仿宋" w:hAnsi="仿宋" w:eastAsia="仿宋" w:cs="仿宋"/>
          <w:b/>
          <w:bCs/>
          <w:sz w:val="32"/>
          <w:szCs w:val="32"/>
        </w:rPr>
        <w:t>情况</w:t>
      </w:r>
      <w:r>
        <w:rPr>
          <w:rFonts w:hint="eastAsia" w:ascii="仿宋" w:hAnsi="仿宋" w:eastAsia="仿宋" w:cs="仿宋"/>
          <w:b/>
          <w:bCs/>
          <w:sz w:val="32"/>
          <w:szCs w:val="32"/>
          <w:lang w:eastAsia="zh-CN"/>
        </w:rPr>
        <w:t>及指标分析</w:t>
      </w:r>
    </w:p>
    <w:p>
      <w:pPr>
        <w:ind w:firstLine="643" w:firstLineChars="200"/>
        <w:rPr>
          <w:rFonts w:hint="eastAsia" w:ascii="仿宋" w:hAnsi="仿宋" w:eastAsia="仿宋" w:cs="仿宋"/>
          <w:b/>
          <w:bCs/>
          <w:sz w:val="32"/>
          <w:szCs w:val="32"/>
        </w:rPr>
      </w:pPr>
      <w:r>
        <w:rPr>
          <w:rFonts w:hint="eastAsia" w:ascii="仿宋" w:hAnsi="仿宋" w:eastAsia="仿宋" w:cs="仿宋"/>
          <w:b/>
          <w:bCs/>
          <w:sz w:val="32"/>
          <w:szCs w:val="32"/>
          <w:lang w:val="en-US" w:eastAsia="zh-CN"/>
        </w:rPr>
        <w:t>1、</w:t>
      </w:r>
      <w:r>
        <w:rPr>
          <w:rFonts w:hint="eastAsia" w:ascii="仿宋" w:hAnsi="仿宋" w:eastAsia="仿宋" w:cs="仿宋"/>
          <w:b/>
          <w:bCs/>
          <w:sz w:val="32"/>
          <w:szCs w:val="32"/>
        </w:rPr>
        <w:t>积极推进学院教育教学工作发展</w:t>
      </w:r>
    </w:p>
    <w:p>
      <w:pPr>
        <w:ind w:firstLine="640" w:firstLineChars="20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大力发展高等职业教育，全面提高教师教学水平，进一步开展应用性研究，提升教师教学科研能力，服务高职教育改革发展。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120人次</w:t>
      </w:r>
      <w:r>
        <w:rPr>
          <w:rFonts w:hint="eastAsia" w:ascii="仿宋" w:hAnsi="仿宋" w:eastAsia="仿宋" w:cs="仿宋"/>
          <w:sz w:val="32"/>
          <w:szCs w:val="32"/>
        </w:rPr>
        <w:t>学生参加省部级以上职业院校技能大赛。建设校级及以上精品在线开放课程门数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22</w:t>
      </w:r>
      <w:r>
        <w:rPr>
          <w:rFonts w:hint="eastAsia" w:ascii="仿宋" w:hAnsi="仿宋" w:eastAsia="仿宋" w:cs="仿宋"/>
          <w:sz w:val="32"/>
          <w:szCs w:val="32"/>
        </w:rPr>
        <w:t>门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，其中12门校级，7门省级，3门国家级</w:t>
      </w:r>
      <w:r>
        <w:rPr>
          <w:rFonts w:hint="eastAsia" w:ascii="仿宋" w:hAnsi="仿宋" w:eastAsia="仿宋" w:cs="仿宋"/>
          <w:sz w:val="32"/>
          <w:szCs w:val="32"/>
        </w:rPr>
        <w:t>。科研项目研究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101</w:t>
      </w:r>
      <w:r>
        <w:rPr>
          <w:rFonts w:hint="eastAsia" w:ascii="仿宋" w:hAnsi="仿宋" w:eastAsia="仿宋" w:cs="仿宋"/>
          <w:sz w:val="32"/>
          <w:szCs w:val="32"/>
        </w:rPr>
        <w:t>项，学报出版6期，省级以上高水平项目研究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4项</w:t>
      </w:r>
      <w:r>
        <w:rPr>
          <w:rFonts w:hint="eastAsia" w:ascii="仿宋" w:hAnsi="仿宋" w:eastAsia="仿宋" w:cs="仿宋"/>
          <w:sz w:val="32"/>
          <w:szCs w:val="32"/>
        </w:rPr>
        <w:t>。</w:t>
      </w:r>
    </w:p>
    <w:p>
      <w:pPr>
        <w:numPr>
          <w:ilvl w:val="0"/>
          <w:numId w:val="0"/>
        </w:numPr>
        <w:spacing w:line="500" w:lineRule="exact"/>
        <w:ind w:firstLine="643" w:firstLineChars="200"/>
        <w:jc w:val="left"/>
        <w:rPr>
          <w:rFonts w:hint="eastAsia" w:ascii="仿宋" w:hAnsi="仿宋" w:eastAsia="仿宋" w:cs="仿宋"/>
          <w:b/>
          <w:bCs/>
          <w:sz w:val="32"/>
          <w:szCs w:val="32"/>
        </w:rPr>
      </w:pPr>
      <w:r>
        <w:rPr>
          <w:rFonts w:hint="eastAsia" w:ascii="仿宋" w:hAnsi="仿宋" w:eastAsia="仿宋" w:cs="仿宋"/>
          <w:b/>
          <w:bCs/>
          <w:sz w:val="32"/>
          <w:szCs w:val="32"/>
          <w:lang w:val="en-US" w:eastAsia="zh-CN"/>
        </w:rPr>
        <w:t>2、</w:t>
      </w:r>
      <w:r>
        <w:rPr>
          <w:rFonts w:hint="eastAsia" w:ascii="仿宋" w:hAnsi="仿宋" w:eastAsia="仿宋" w:cs="仿宋"/>
          <w:b/>
          <w:bCs/>
          <w:sz w:val="32"/>
          <w:szCs w:val="32"/>
        </w:rPr>
        <w:t>强化“两翼”服务模式的办学格局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ind w:firstLine="640" w:firstLineChars="200"/>
        <w:jc w:val="left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加强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开放大学</w:t>
      </w:r>
      <w:r>
        <w:rPr>
          <w:rFonts w:hint="eastAsia" w:ascii="仿宋" w:hAnsi="仿宋" w:eastAsia="仿宋" w:cs="仿宋"/>
          <w:sz w:val="32"/>
          <w:szCs w:val="32"/>
        </w:rPr>
        <w:t>成人教育、开放教育，扩大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开放大学</w:t>
      </w:r>
      <w:r>
        <w:rPr>
          <w:rFonts w:hint="eastAsia" w:ascii="仿宋" w:hAnsi="仿宋" w:eastAsia="仿宋" w:cs="仿宋"/>
          <w:sz w:val="32"/>
          <w:szCs w:val="32"/>
        </w:rPr>
        <w:t>招生规模。建设网络课程资源，提升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开放大学</w:t>
      </w:r>
      <w:r>
        <w:rPr>
          <w:rFonts w:hint="eastAsia" w:ascii="仿宋" w:hAnsi="仿宋" w:eastAsia="仿宋" w:cs="仿宋"/>
          <w:sz w:val="32"/>
          <w:szCs w:val="32"/>
        </w:rPr>
        <w:t>教学业务质量。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2022年开放大学招生规模5230人，</w:t>
      </w:r>
      <w:r>
        <w:rPr>
          <w:rFonts w:hint="eastAsia" w:ascii="仿宋" w:hAnsi="仿宋" w:eastAsia="仿宋" w:cs="仿宋"/>
          <w:sz w:val="32"/>
          <w:szCs w:val="32"/>
        </w:rPr>
        <w:t>教育局、省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开放大学</w:t>
      </w:r>
      <w:r>
        <w:rPr>
          <w:rFonts w:hint="eastAsia" w:ascii="仿宋" w:hAnsi="仿宋" w:eastAsia="仿宋" w:cs="仿宋"/>
          <w:sz w:val="32"/>
          <w:szCs w:val="32"/>
        </w:rPr>
        <w:t>等上级部门对教学检查、年度检查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全部合格，年度学生投诉次数为0次，年度按期毕业率为71.49%。</w:t>
      </w:r>
      <w:r>
        <w:rPr>
          <w:rFonts w:hint="eastAsia" w:ascii="仿宋" w:hAnsi="仿宋" w:eastAsia="仿宋" w:cs="仿宋"/>
          <w:sz w:val="32"/>
          <w:szCs w:val="32"/>
        </w:rPr>
        <w:t>完善优化社区教育，强力打造具有全国示范性的社区教育服务样板。全年社区教育活动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服务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2万人次，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建设社区老年大学在线课程5门。</w:t>
      </w:r>
    </w:p>
    <w:p>
      <w:pPr>
        <w:autoSpaceDE w:val="0"/>
        <w:autoSpaceDN w:val="0"/>
        <w:adjustRightInd w:val="0"/>
        <w:ind w:left="198" w:firstLine="643" w:firstLineChars="200"/>
        <w:jc w:val="left"/>
        <w:rPr>
          <w:rFonts w:hint="eastAsia" w:ascii="仿宋" w:hAnsi="仿宋" w:eastAsia="仿宋" w:cs="仿宋"/>
          <w:b/>
          <w:bCs/>
          <w:sz w:val="32"/>
          <w:szCs w:val="32"/>
        </w:rPr>
      </w:pPr>
      <w:r>
        <w:rPr>
          <w:rFonts w:hint="eastAsia" w:ascii="仿宋" w:hAnsi="仿宋" w:eastAsia="仿宋" w:cs="仿宋"/>
          <w:b/>
          <w:bCs/>
          <w:sz w:val="32"/>
          <w:szCs w:val="32"/>
          <w:lang w:val="en-US" w:eastAsia="zh-CN"/>
        </w:rPr>
        <w:t>3、</w:t>
      </w:r>
      <w:r>
        <w:rPr>
          <w:rFonts w:hint="eastAsia" w:ascii="仿宋" w:hAnsi="仿宋" w:eastAsia="仿宋" w:cs="仿宋"/>
          <w:b/>
          <w:bCs/>
          <w:sz w:val="32"/>
          <w:szCs w:val="32"/>
        </w:rPr>
        <w:t>加强学生教育管理工作</w:t>
      </w:r>
    </w:p>
    <w:p>
      <w:pPr>
        <w:pStyle w:val="11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561"/>
        <w:textAlignment w:val="auto"/>
        <w:rPr>
          <w:rFonts w:hint="eastAsia" w:ascii="仿宋_GB2312" w:hAnsi="Calibri" w:eastAsia="仿宋_GB2312" w:cs="Times New Roman"/>
          <w:b w:val="0"/>
          <w:bCs w:val="0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Calibri" w:eastAsia="仿宋_GB2312" w:cs="Times New Roman"/>
          <w:b w:val="0"/>
          <w:bCs w:val="0"/>
          <w:kern w:val="2"/>
          <w:sz w:val="32"/>
          <w:szCs w:val="32"/>
          <w:lang w:val="en-US" w:eastAsia="zh-CN" w:bidi="ar-SA"/>
        </w:rPr>
        <w:t>做好学生教育管理工作，开展多彩的文体活动、社会实践活动和思想教育活动，丰富学生课余文化生活。定期更换锁具，发放卫生清扫工具等，做好公寓管理和服务工作,确保学生宿舍的住宿安全，创造良好育人环境，全年开展各项学生活动32项。加大招生宣传力度，开展招生宣传工作，进一步扩大学院影响力。做好就业管理和服务工作，帮助学生积极就业。2022年输送毕业生4357人，毕业生就业率为93.32%。</w:t>
      </w:r>
    </w:p>
    <w:p>
      <w:pPr>
        <w:ind w:firstLine="643" w:firstLineChars="200"/>
        <w:rPr>
          <w:rFonts w:hint="eastAsia" w:ascii="仿宋" w:hAnsi="仿宋" w:eastAsia="仿宋" w:cs="仿宋"/>
          <w:b/>
          <w:bCs/>
          <w:sz w:val="32"/>
          <w:szCs w:val="32"/>
        </w:rPr>
      </w:pPr>
      <w:r>
        <w:rPr>
          <w:rFonts w:hint="eastAsia" w:ascii="仿宋" w:hAnsi="仿宋" w:eastAsia="仿宋" w:cs="仿宋"/>
          <w:b/>
          <w:bCs/>
          <w:sz w:val="32"/>
          <w:szCs w:val="32"/>
          <w:lang w:val="en-US" w:eastAsia="zh-CN"/>
        </w:rPr>
        <w:t>4、</w:t>
      </w:r>
      <w:r>
        <w:rPr>
          <w:rFonts w:hint="eastAsia" w:ascii="仿宋" w:hAnsi="仿宋" w:eastAsia="仿宋" w:cs="仿宋"/>
          <w:b/>
          <w:bCs/>
          <w:sz w:val="32"/>
          <w:szCs w:val="32"/>
        </w:rPr>
        <w:t>加大高校贫困学生资助力度</w:t>
      </w:r>
    </w:p>
    <w:p>
      <w:pPr>
        <w:ind w:firstLine="640" w:firstLineChars="200"/>
        <w:rPr>
          <w:rFonts w:hint="eastAsia" w:ascii="仿宋" w:hAnsi="仿宋" w:eastAsia="仿宋" w:cs="仿宋"/>
          <w:b w:val="0"/>
          <w:bCs w:val="0"/>
          <w:sz w:val="32"/>
          <w:szCs w:val="32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</w:rPr>
        <w:t>高等学校各项国家资助政策按规定得到落实，帮助家庭经济困难学生顺利完成学业。根据冀教资助文件，助学金及时足额发放到位，发放人数与受助人数100%相符。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  <w:lang w:eastAsia="zh-CN"/>
        </w:rPr>
        <w:t>受助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</w:rPr>
        <w:t>满意度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100%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</w:rPr>
        <w:t>。</w:t>
      </w:r>
    </w:p>
    <w:p>
      <w:pPr>
        <w:numPr>
          <w:ilvl w:val="0"/>
          <w:numId w:val="0"/>
        </w:numPr>
        <w:spacing w:line="500" w:lineRule="exact"/>
        <w:ind w:firstLine="643" w:firstLineChars="200"/>
        <w:jc w:val="left"/>
        <w:rPr>
          <w:rFonts w:hint="eastAsia" w:ascii="仿宋" w:hAnsi="仿宋" w:eastAsia="仿宋" w:cs="仿宋"/>
          <w:b/>
          <w:bCs/>
          <w:sz w:val="32"/>
          <w:szCs w:val="32"/>
        </w:rPr>
      </w:pPr>
      <w:r>
        <w:rPr>
          <w:rFonts w:hint="eastAsia" w:ascii="仿宋" w:hAnsi="仿宋" w:eastAsia="仿宋" w:cs="仿宋"/>
          <w:b/>
          <w:bCs/>
          <w:sz w:val="32"/>
          <w:szCs w:val="32"/>
          <w:lang w:val="en-US" w:eastAsia="zh-CN"/>
        </w:rPr>
        <w:t>5、</w:t>
      </w:r>
      <w:r>
        <w:rPr>
          <w:rFonts w:hint="eastAsia" w:ascii="仿宋" w:hAnsi="仿宋" w:eastAsia="仿宋" w:cs="仿宋"/>
          <w:b/>
          <w:bCs/>
          <w:sz w:val="32"/>
          <w:szCs w:val="32"/>
        </w:rPr>
        <w:t>促进高水平专业建设发展</w:t>
      </w:r>
    </w:p>
    <w:p>
      <w:pPr>
        <w:autoSpaceDE w:val="0"/>
        <w:autoSpaceDN w:val="0"/>
        <w:adjustRightInd w:val="0"/>
        <w:ind w:firstLine="640" w:firstLineChars="200"/>
        <w:jc w:val="left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购置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1000台（套）</w:t>
      </w:r>
      <w:r>
        <w:rPr>
          <w:rFonts w:hint="eastAsia" w:ascii="仿宋" w:hAnsi="仿宋" w:eastAsia="仿宋" w:cs="仿宋"/>
          <w:sz w:val="32"/>
          <w:szCs w:val="32"/>
        </w:rPr>
        <w:t>教学及实训设备，提升学校硬件水平，增强学生实际动手能力。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90余名</w:t>
      </w:r>
      <w:r>
        <w:rPr>
          <w:rFonts w:hint="eastAsia" w:ascii="仿宋" w:hAnsi="仿宋" w:eastAsia="仿宋" w:cs="仿宋"/>
          <w:sz w:val="32"/>
          <w:szCs w:val="32"/>
        </w:rPr>
        <w:t>教师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通过线上等方式</w:t>
      </w:r>
      <w:r>
        <w:rPr>
          <w:rFonts w:hint="eastAsia" w:ascii="仿宋" w:hAnsi="仿宋" w:eastAsia="仿宋" w:cs="仿宋"/>
          <w:sz w:val="32"/>
          <w:szCs w:val="32"/>
        </w:rPr>
        <w:t>参加会议培训以及调研等活动，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进一步</w:t>
      </w:r>
      <w:r>
        <w:rPr>
          <w:rFonts w:hint="eastAsia" w:ascii="仿宋" w:hAnsi="仿宋" w:eastAsia="仿宋" w:cs="仿宋"/>
          <w:sz w:val="32"/>
          <w:szCs w:val="32"/>
        </w:rPr>
        <w:t>提升教学能力以及整体素质。</w:t>
      </w:r>
    </w:p>
    <w:p>
      <w:pPr>
        <w:numPr>
          <w:ilvl w:val="0"/>
          <w:numId w:val="0"/>
        </w:numPr>
        <w:spacing w:line="500" w:lineRule="exact"/>
        <w:ind w:firstLine="643" w:firstLineChars="200"/>
        <w:jc w:val="left"/>
        <w:rPr>
          <w:rFonts w:hint="eastAsia" w:ascii="仿宋" w:hAnsi="仿宋" w:eastAsia="仿宋" w:cs="仿宋"/>
          <w:b/>
          <w:bCs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b/>
          <w:bCs/>
          <w:sz w:val="32"/>
          <w:szCs w:val="32"/>
          <w:lang w:val="en-US" w:eastAsia="zh-CN"/>
        </w:rPr>
        <w:t>6、</w:t>
      </w:r>
      <w:r>
        <w:rPr>
          <w:rFonts w:hint="eastAsia" w:ascii="仿宋" w:hAnsi="仿宋" w:eastAsia="仿宋" w:cs="仿宋"/>
          <w:b/>
          <w:bCs/>
          <w:sz w:val="32"/>
          <w:szCs w:val="32"/>
        </w:rPr>
        <w:t>按照市政府的部署，加快正定新区新校区</w:t>
      </w:r>
      <w:r>
        <w:rPr>
          <w:rFonts w:hint="eastAsia" w:ascii="仿宋" w:hAnsi="仿宋" w:eastAsia="仿宋" w:cs="仿宋"/>
          <w:b/>
          <w:bCs/>
          <w:sz w:val="32"/>
          <w:szCs w:val="32"/>
          <w:lang w:eastAsia="zh-CN"/>
        </w:rPr>
        <w:t>搬迁工作</w:t>
      </w:r>
    </w:p>
    <w:p>
      <w:pPr>
        <w:spacing w:line="360" w:lineRule="auto"/>
        <w:ind w:firstLine="640" w:firstLineChars="200"/>
        <w:rPr>
          <w:rFonts w:hint="default" w:ascii="黑体" w:hAnsi="黑体" w:eastAsia="黑体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2022年正定新校区搬迁工作稳步推进，受疫情影响，我院新校区被征用为方舱医院，搬迁工作进度受到影响。购置设备（家具）25000件（台/套），因新校区被征用，部分设备（家具）无地方安置及验收，新校区能容纳12000人以上。</w:t>
      </w:r>
    </w:p>
    <w:p>
      <w:pPr>
        <w:spacing w:line="360" w:lineRule="auto"/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四、项目综合评价结论和评价等级</w:t>
      </w:r>
    </w:p>
    <w:p>
      <w:pPr>
        <w:adjustRightInd w:val="0"/>
        <w:snapToGrid w:val="0"/>
        <w:spacing w:line="360" w:lineRule="auto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根据项目执行情况和项目绩效情况，指标体系设定满分100分，得出综合评价结论和项目综合绩效评价等级。项目综合绩效评价分为4个等级：得分</w:t>
      </w:r>
      <w:r>
        <w:rPr>
          <w:rFonts w:ascii="仿宋_GB2312" w:eastAsia="仿宋_GB2312"/>
          <w:sz w:val="32"/>
          <w:szCs w:val="32"/>
        </w:rPr>
        <w:t>≥</w:t>
      </w:r>
      <w:r>
        <w:rPr>
          <w:rFonts w:hint="eastAsia" w:ascii="仿宋_GB2312" w:eastAsia="仿宋_GB2312"/>
          <w:sz w:val="32"/>
          <w:szCs w:val="32"/>
        </w:rPr>
        <w:t>85分为优秀；75</w:t>
      </w:r>
      <w:r>
        <w:rPr>
          <w:rFonts w:ascii="仿宋_GB2312" w:eastAsia="仿宋_GB2312"/>
          <w:sz w:val="32"/>
          <w:szCs w:val="32"/>
        </w:rPr>
        <w:t>≤</w:t>
      </w:r>
      <w:r>
        <w:rPr>
          <w:rFonts w:hint="eastAsia" w:ascii="仿宋_GB2312" w:eastAsia="仿宋_GB2312"/>
          <w:sz w:val="32"/>
          <w:szCs w:val="32"/>
        </w:rPr>
        <w:t>得分＜85分为良好；60</w:t>
      </w:r>
      <w:r>
        <w:rPr>
          <w:rFonts w:ascii="仿宋_GB2312" w:eastAsia="仿宋_GB2312"/>
          <w:sz w:val="32"/>
          <w:szCs w:val="32"/>
        </w:rPr>
        <w:t>≤</w:t>
      </w:r>
      <w:r>
        <w:rPr>
          <w:rFonts w:hint="eastAsia" w:ascii="仿宋_GB2312" w:eastAsia="仿宋_GB2312"/>
          <w:sz w:val="32"/>
          <w:szCs w:val="32"/>
        </w:rPr>
        <w:t>得分＜75分为一般；得分＜60分为较差。</w:t>
      </w:r>
    </w:p>
    <w:p>
      <w:pPr>
        <w:adjustRightInd w:val="0"/>
        <w:snapToGrid w:val="0"/>
        <w:spacing w:line="360" w:lineRule="auto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/>
          <w:sz w:val="32"/>
          <w:szCs w:val="32"/>
        </w:rPr>
        <w:t>我院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2022年整体支出绩效自评</w:t>
      </w:r>
      <w:r>
        <w:rPr>
          <w:rFonts w:ascii="仿宋_GB2312" w:eastAsia="仿宋_GB2312"/>
          <w:sz w:val="32"/>
          <w:szCs w:val="32"/>
        </w:rPr>
        <w:t>得分为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93</w:t>
      </w:r>
      <w:r>
        <w:rPr>
          <w:rFonts w:ascii="仿宋_GB2312" w:eastAsia="仿宋_GB2312"/>
          <w:sz w:val="32"/>
          <w:szCs w:val="32"/>
        </w:rPr>
        <w:t>分，</w:t>
      </w:r>
      <w:r>
        <w:rPr>
          <w:rFonts w:hint="eastAsia" w:ascii="仿宋" w:hAnsi="仿宋" w:eastAsia="仿宋" w:cs="仿宋"/>
          <w:sz w:val="32"/>
          <w:szCs w:val="32"/>
        </w:rPr>
        <w:t>综合绩效评价等级为优秀。</w:t>
      </w:r>
    </w:p>
    <w:p>
      <w:pPr>
        <w:spacing w:line="360" w:lineRule="auto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五、存在的问题及改进措施</w:t>
      </w:r>
    </w:p>
    <w:p>
      <w:pPr>
        <w:spacing w:line="360" w:lineRule="auto"/>
        <w:ind w:firstLine="643" w:firstLineChars="200"/>
        <w:rPr>
          <w:rFonts w:hint="eastAsia" w:ascii="仿宋" w:hAnsi="仿宋" w:eastAsia="仿宋" w:cs="仿宋"/>
          <w:b/>
          <w:bCs/>
          <w:sz w:val="32"/>
          <w:szCs w:val="32"/>
        </w:rPr>
      </w:pPr>
      <w:r>
        <w:rPr>
          <w:rFonts w:hint="eastAsia" w:ascii="仿宋" w:hAnsi="仿宋" w:eastAsia="仿宋" w:cs="仿宋"/>
          <w:b/>
          <w:bCs/>
          <w:sz w:val="32"/>
          <w:szCs w:val="32"/>
        </w:rPr>
        <w:t>（一）项目存在的主要问题</w:t>
      </w:r>
    </w:p>
    <w:p>
      <w:pPr>
        <w:widowControl/>
        <w:spacing w:line="360" w:lineRule="auto"/>
        <w:ind w:firstLine="640" w:firstLineChars="20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1</w:t>
      </w:r>
      <w:r>
        <w:rPr>
          <w:rFonts w:hint="eastAsia" w:ascii="仿宋" w:hAnsi="仿宋" w:eastAsia="仿宋"/>
          <w:sz w:val="32"/>
          <w:szCs w:val="32"/>
        </w:rPr>
        <w:t>、202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2</w:t>
      </w:r>
      <w:r>
        <w:rPr>
          <w:rFonts w:hint="eastAsia" w:ascii="仿宋" w:hAnsi="仿宋" w:eastAsia="仿宋"/>
          <w:sz w:val="32"/>
          <w:szCs w:val="32"/>
        </w:rPr>
        <w:t>年由于受到新型冠状病毒疫情影响，</w:t>
      </w:r>
      <w:r>
        <w:rPr>
          <w:rFonts w:hint="eastAsia" w:ascii="仿宋" w:hAnsi="仿宋" w:eastAsia="仿宋"/>
          <w:sz w:val="32"/>
          <w:szCs w:val="32"/>
          <w:lang w:eastAsia="zh-CN"/>
        </w:rPr>
        <w:t>造成个别</w:t>
      </w:r>
      <w:r>
        <w:rPr>
          <w:rFonts w:hint="eastAsia" w:ascii="仿宋" w:hAnsi="仿宋" w:eastAsia="仿宋"/>
          <w:sz w:val="32"/>
          <w:szCs w:val="32"/>
        </w:rPr>
        <w:t>计划项目不能如期完成。主要体现</w:t>
      </w:r>
      <w:r>
        <w:rPr>
          <w:rFonts w:hint="eastAsia" w:ascii="仿宋" w:hAnsi="仿宋" w:eastAsia="仿宋"/>
          <w:sz w:val="32"/>
          <w:szCs w:val="32"/>
          <w:lang w:eastAsia="zh-CN"/>
        </w:rPr>
        <w:t>在</w:t>
      </w:r>
      <w:r>
        <w:rPr>
          <w:rFonts w:hint="eastAsia" w:ascii="仿宋" w:hAnsi="仿宋" w:eastAsia="仿宋"/>
          <w:sz w:val="32"/>
          <w:szCs w:val="32"/>
        </w:rPr>
        <w:t>以下几个方面：（1）</w:t>
      </w:r>
      <w:r>
        <w:rPr>
          <w:rFonts w:hint="eastAsia" w:ascii="仿宋" w:hAnsi="仿宋" w:eastAsia="仿宋"/>
          <w:sz w:val="32"/>
          <w:szCs w:val="32"/>
          <w:lang w:eastAsia="zh-CN"/>
        </w:rPr>
        <w:t>我院新校区被征用为方舱医院，搬迁工作进度受到影响、部分货物无法供货验收；</w:t>
      </w:r>
      <w:r>
        <w:rPr>
          <w:rFonts w:hint="eastAsia" w:ascii="仿宋" w:hAnsi="仿宋" w:eastAsia="仿宋"/>
          <w:sz w:val="32"/>
          <w:szCs w:val="32"/>
        </w:rPr>
        <w:t>（2）教师外出培训大幅度减少</w:t>
      </w:r>
      <w:r>
        <w:rPr>
          <w:rFonts w:hint="eastAsia" w:ascii="仿宋" w:hAnsi="仿宋" w:eastAsia="仿宋"/>
          <w:sz w:val="32"/>
          <w:szCs w:val="32"/>
          <w:lang w:eastAsia="zh-CN"/>
        </w:rPr>
        <w:t>；（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3</w:t>
      </w:r>
      <w:r>
        <w:rPr>
          <w:rFonts w:hint="eastAsia" w:ascii="仿宋" w:hAnsi="仿宋" w:eastAsia="仿宋"/>
          <w:sz w:val="32"/>
          <w:szCs w:val="32"/>
          <w:lang w:eastAsia="zh-CN"/>
        </w:rPr>
        <w:t>）影响校企合作工作安排；（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4)线下社区教育活动未能进行。</w:t>
      </w:r>
    </w:p>
    <w:p>
      <w:pPr>
        <w:widowControl/>
        <w:numPr>
          <w:ilvl w:val="0"/>
          <w:numId w:val="1"/>
        </w:numPr>
        <w:spacing w:line="360" w:lineRule="auto"/>
        <w:ind w:firstLine="640" w:firstLineChars="20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评审中心重组，维修装修类项目无法进行评审工作。</w:t>
      </w:r>
    </w:p>
    <w:p>
      <w:pPr>
        <w:widowControl/>
        <w:spacing w:line="360" w:lineRule="auto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3、</w:t>
      </w:r>
      <w:r>
        <w:rPr>
          <w:rFonts w:hint="eastAsia" w:ascii="仿宋" w:hAnsi="仿宋" w:eastAsia="仿宋"/>
          <w:sz w:val="32"/>
          <w:szCs w:val="32"/>
        </w:rPr>
        <w:t>预算指标下达的时</w:t>
      </w:r>
      <w:bookmarkStart w:id="2" w:name="_GoBack"/>
      <w:bookmarkEnd w:id="2"/>
      <w:r>
        <w:rPr>
          <w:rFonts w:hint="eastAsia" w:ascii="仿宋" w:hAnsi="仿宋" w:eastAsia="仿宋"/>
          <w:sz w:val="32"/>
          <w:szCs w:val="32"/>
        </w:rPr>
        <w:t>间比较晚，在较短的时间内不能及时执行预算，导致这些项目资金执行率低。例如：202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2</w:t>
      </w:r>
      <w:r>
        <w:rPr>
          <w:rFonts w:hint="eastAsia" w:ascii="仿宋" w:hAnsi="仿宋" w:eastAsia="仿宋"/>
          <w:sz w:val="32"/>
          <w:szCs w:val="32"/>
        </w:rPr>
        <w:t>年</w:t>
      </w:r>
      <w:r>
        <w:rPr>
          <w:rFonts w:hint="eastAsia" w:ascii="仿宋" w:hAnsi="仿宋" w:eastAsia="仿宋"/>
          <w:sz w:val="32"/>
          <w:szCs w:val="32"/>
          <w:lang w:eastAsia="zh-CN"/>
        </w:rPr>
        <w:t>县域科技创新能力建设市级资金（科技特派员经费）</w:t>
      </w:r>
      <w:r>
        <w:rPr>
          <w:rFonts w:hint="eastAsia" w:ascii="仿宋" w:hAnsi="仿宋" w:eastAsia="仿宋"/>
          <w:sz w:val="32"/>
          <w:szCs w:val="32"/>
        </w:rPr>
        <w:t>项目</w:t>
      </w:r>
      <w:r>
        <w:rPr>
          <w:rFonts w:hint="eastAsia" w:ascii="仿宋" w:hAnsi="仿宋" w:eastAsia="仿宋"/>
          <w:sz w:val="32"/>
          <w:szCs w:val="32"/>
          <w:lang w:eastAsia="zh-CN"/>
        </w:rPr>
        <w:t>于</w:t>
      </w:r>
      <w:r>
        <w:rPr>
          <w:rFonts w:hint="eastAsia" w:ascii="仿宋" w:hAnsi="仿宋" w:eastAsia="仿宋"/>
          <w:sz w:val="32"/>
          <w:szCs w:val="32"/>
        </w:rPr>
        <w:t>12月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29</w:t>
      </w:r>
      <w:r>
        <w:rPr>
          <w:rFonts w:hint="eastAsia" w:ascii="仿宋" w:hAnsi="仿宋" w:eastAsia="仿宋"/>
          <w:sz w:val="32"/>
          <w:szCs w:val="32"/>
        </w:rPr>
        <w:t>日下达该项目经费，在较短的时间内无法支出。</w:t>
      </w:r>
    </w:p>
    <w:p>
      <w:pPr>
        <w:numPr>
          <w:ilvl w:val="0"/>
          <w:numId w:val="0"/>
        </w:numPr>
        <w:spacing w:line="360" w:lineRule="auto"/>
        <w:ind w:firstLine="640" w:firstLineChars="200"/>
        <w:rPr>
          <w:rFonts w:ascii="仿宋" w:hAnsi="仿宋" w:eastAsia="仿宋" w:cs="宋体"/>
          <w:kern w:val="0"/>
          <w:sz w:val="30"/>
          <w:szCs w:val="30"/>
        </w:rPr>
      </w:pPr>
      <w:r>
        <w:rPr>
          <w:rFonts w:hint="eastAsia" w:ascii="仿宋" w:hAnsi="仿宋" w:eastAsia="仿宋" w:cs="宋体"/>
          <w:kern w:val="0"/>
          <w:sz w:val="32"/>
          <w:szCs w:val="32"/>
          <w:lang w:val="en-US" w:eastAsia="zh-CN"/>
        </w:rPr>
        <w:t>4、</w:t>
      </w:r>
      <w:r>
        <w:rPr>
          <w:rFonts w:hint="eastAsia" w:ascii="仿宋" w:hAnsi="仿宋" w:eastAsia="仿宋" w:cs="宋体"/>
          <w:kern w:val="0"/>
          <w:sz w:val="32"/>
          <w:szCs w:val="32"/>
        </w:rPr>
        <w:t>由于课题研究具有周期性，需要跨</w:t>
      </w:r>
      <w:r>
        <w:rPr>
          <w:rFonts w:hint="eastAsia" w:ascii="仿宋" w:hAnsi="仿宋" w:eastAsia="仿宋" w:cs="宋体"/>
          <w:kern w:val="0"/>
          <w:sz w:val="32"/>
          <w:szCs w:val="32"/>
          <w:lang w:eastAsia="zh-CN"/>
        </w:rPr>
        <w:t>年度</w:t>
      </w:r>
      <w:r>
        <w:rPr>
          <w:rFonts w:hint="eastAsia" w:ascii="仿宋" w:hAnsi="仿宋" w:eastAsia="仿宋" w:cs="宋体"/>
          <w:kern w:val="0"/>
          <w:sz w:val="32"/>
          <w:szCs w:val="32"/>
        </w:rPr>
        <w:t>完成。所以造成课题经费有</w:t>
      </w:r>
      <w:r>
        <w:rPr>
          <w:rFonts w:hint="eastAsia" w:ascii="仿宋" w:hAnsi="仿宋" w:eastAsia="仿宋" w:cs="宋体"/>
          <w:kern w:val="0"/>
          <w:sz w:val="32"/>
          <w:szCs w:val="32"/>
          <w:lang w:eastAsia="zh-CN"/>
        </w:rPr>
        <w:t>剩余。</w:t>
      </w:r>
      <w:r>
        <w:rPr>
          <w:rFonts w:ascii="仿宋" w:hAnsi="仿宋" w:eastAsia="仿宋" w:cs="宋体"/>
          <w:kern w:val="0"/>
          <w:sz w:val="30"/>
          <w:szCs w:val="30"/>
        </w:rPr>
        <w:t xml:space="preserve"> </w:t>
      </w:r>
    </w:p>
    <w:p>
      <w:pPr>
        <w:spacing w:line="360" w:lineRule="auto"/>
        <w:ind w:firstLine="643" w:firstLineChars="200"/>
        <w:rPr>
          <w:rFonts w:hint="eastAsia" w:ascii="仿宋" w:hAnsi="仿宋" w:eastAsia="仿宋" w:cs="仿宋"/>
          <w:b/>
          <w:bCs/>
          <w:sz w:val="32"/>
          <w:szCs w:val="32"/>
        </w:rPr>
      </w:pPr>
      <w:r>
        <w:rPr>
          <w:rFonts w:hint="eastAsia" w:ascii="仿宋" w:hAnsi="仿宋" w:eastAsia="仿宋" w:cs="仿宋"/>
          <w:b/>
          <w:bCs/>
          <w:sz w:val="32"/>
          <w:szCs w:val="32"/>
        </w:rPr>
        <w:t>（二）针对问题提出具体的改进措施或建议</w:t>
      </w:r>
    </w:p>
    <w:p>
      <w:pPr>
        <w:snapToGrid w:val="0"/>
        <w:spacing w:line="360" w:lineRule="auto"/>
        <w:ind w:firstLine="640" w:firstLineChars="20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color w:val="000000"/>
          <w:sz w:val="32"/>
          <w:szCs w:val="32"/>
          <w:lang w:val="en-US" w:eastAsia="zh-CN"/>
        </w:rPr>
        <w:t>1</w:t>
      </w:r>
      <w:r>
        <w:rPr>
          <w:rFonts w:hint="eastAsia" w:ascii="仿宋" w:hAnsi="仿宋" w:eastAsia="仿宋" w:cs="仿宋"/>
          <w:color w:val="000000"/>
          <w:sz w:val="32"/>
          <w:szCs w:val="32"/>
        </w:rPr>
        <w:t>、对项目资金应加大提前谋划力度，充分调研，为资金保质保量、充分有效使用提供有力保障。</w:t>
      </w:r>
      <w:r>
        <w:rPr>
          <w:rFonts w:hint="eastAsia"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z w:val="32"/>
          <w:szCs w:val="32"/>
        </w:rPr>
        <w:t xml:space="preserve"> </w:t>
      </w:r>
    </w:p>
    <w:p>
      <w:pPr>
        <w:snapToGrid w:val="0"/>
        <w:spacing w:line="360" w:lineRule="auto"/>
        <w:ind w:firstLine="640" w:firstLineChars="200"/>
        <w:rPr>
          <w:rFonts w:hint="eastAsia" w:ascii="仿宋" w:hAnsi="仿宋" w:eastAsia="仿宋" w:cs="仿宋"/>
          <w:color w:val="000000"/>
          <w:sz w:val="32"/>
          <w:szCs w:val="32"/>
        </w:rPr>
      </w:pPr>
      <w:r>
        <w:rPr>
          <w:rFonts w:hint="eastAsia" w:ascii="仿宋" w:hAnsi="仿宋" w:eastAsia="仿宋" w:cs="仿宋"/>
          <w:color w:val="000000"/>
          <w:sz w:val="32"/>
          <w:szCs w:val="32"/>
          <w:lang w:val="en-US" w:eastAsia="zh-CN"/>
        </w:rPr>
        <w:t>2</w:t>
      </w:r>
      <w:r>
        <w:rPr>
          <w:rFonts w:hint="eastAsia" w:ascii="仿宋" w:hAnsi="仿宋" w:eastAsia="仿宋" w:cs="仿宋"/>
          <w:color w:val="000000"/>
          <w:sz w:val="32"/>
          <w:szCs w:val="32"/>
        </w:rPr>
        <w:t>、对各项目通盘考虑，适当进行资金整合，积极应对形势变化，采取灵活多样的方式开展工作。</w:t>
      </w:r>
    </w:p>
    <w:p>
      <w:pPr>
        <w:spacing w:line="360" w:lineRule="auto"/>
        <w:ind w:firstLine="640" w:firstLineChars="20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3</w:t>
      </w:r>
      <w:r>
        <w:rPr>
          <w:rFonts w:hint="eastAsia" w:ascii="仿宋" w:hAnsi="仿宋" w:eastAsia="仿宋" w:cs="仿宋"/>
          <w:sz w:val="32"/>
          <w:szCs w:val="32"/>
        </w:rPr>
        <w:t>、在项目审批和招投标过程中，加强各部门间的协调性，保证项目推进和绩效目标的完成。</w:t>
      </w:r>
    </w:p>
    <w:p>
      <w:pPr>
        <w:adjustRightInd w:val="0"/>
        <w:snapToGrid w:val="0"/>
        <w:spacing w:line="360" w:lineRule="auto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4</w:t>
      </w:r>
      <w:r>
        <w:rPr>
          <w:rFonts w:hint="eastAsia" w:ascii="仿宋" w:hAnsi="仿宋" w:eastAsia="仿宋"/>
          <w:sz w:val="32"/>
          <w:szCs w:val="32"/>
        </w:rPr>
        <w:t>、加强对项目管理的可行性研究，加强风险评估能力，在项目延迟后，及时与财政局沟通后调整。</w:t>
      </w:r>
    </w:p>
    <w:p>
      <w:pPr>
        <w:adjustRightInd w:val="0"/>
        <w:snapToGrid w:val="0"/>
        <w:spacing w:line="360" w:lineRule="auto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5</w:t>
      </w:r>
      <w:r>
        <w:rPr>
          <w:rFonts w:hint="eastAsia" w:ascii="仿宋" w:hAnsi="仿宋" w:eastAsia="仿宋"/>
          <w:sz w:val="32"/>
          <w:szCs w:val="32"/>
        </w:rPr>
        <w:t>、在立足实际、风险可控的基础上，不断扩大外联力度，坚持合作办学、开放办学。</w:t>
      </w:r>
    </w:p>
    <w:p>
      <w:pPr>
        <w:adjustRightInd w:val="0"/>
        <w:snapToGrid w:val="0"/>
        <w:spacing w:line="360" w:lineRule="auto"/>
        <w:ind w:firstLine="640" w:firstLineChars="200"/>
        <w:rPr>
          <w:rFonts w:hint="eastAsia" w:ascii="仿宋" w:hAnsi="仿宋" w:eastAsia="仿宋"/>
          <w:sz w:val="30"/>
          <w:szCs w:val="30"/>
          <w:lang w:eastAsia="zh-CN"/>
        </w:rPr>
      </w:pPr>
      <w:r>
        <w:rPr>
          <w:rFonts w:hint="eastAsia" w:ascii="仿宋" w:hAnsi="仿宋" w:eastAsia="仿宋"/>
          <w:sz w:val="32"/>
          <w:szCs w:val="32"/>
        </w:rPr>
        <w:t>我院通过开展预算项目绩效自评价工作，深刻认识到项目绩效评价工作的重要性、科学性和规范性。在今后工作中</w:t>
      </w:r>
      <w:r>
        <w:rPr>
          <w:rFonts w:hint="eastAsia" w:ascii="仿宋" w:hAnsi="仿宋" w:eastAsia="仿宋"/>
          <w:sz w:val="32"/>
          <w:szCs w:val="32"/>
          <w:lang w:eastAsia="zh-CN"/>
        </w:rPr>
        <w:t>，我们将加强与财政部门的紧密配合，开展好整体支出绩效管理工作，运用好绩效评价结果，不断提升预算管理水平。</w:t>
      </w:r>
    </w:p>
    <w:p>
      <w:pPr>
        <w:adjustRightInd w:val="0"/>
        <w:snapToGrid w:val="0"/>
        <w:spacing w:line="360" w:lineRule="auto"/>
        <w:ind w:firstLine="640" w:firstLineChars="200"/>
        <w:rPr>
          <w:rFonts w:ascii="仿宋_GB2312" w:hAnsi="仿宋" w:eastAsia="仿宋_GB2312"/>
          <w:sz w:val="32"/>
          <w:szCs w:val="32"/>
        </w:rPr>
      </w:pPr>
      <w:r>
        <w:rPr>
          <w:rFonts w:hint="eastAsia" w:ascii="黑体" w:eastAsia="黑体"/>
          <w:sz w:val="32"/>
          <w:szCs w:val="32"/>
        </w:rPr>
        <w:t>六、评价工作组人员名单及签字</w:t>
      </w:r>
      <w:r>
        <w:rPr>
          <w:rFonts w:hint="eastAsia" w:ascii="仿宋_GB2312" w:eastAsia="仿宋_GB2312"/>
          <w:sz w:val="32"/>
          <w:szCs w:val="32"/>
        </w:rPr>
        <w:t>（姓名、工作单位、职务、职称）</w:t>
      </w:r>
    </w:p>
    <w:tbl>
      <w:tblPr>
        <w:tblStyle w:val="3"/>
        <w:tblW w:w="8330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26"/>
        <w:gridCol w:w="3118"/>
        <w:gridCol w:w="3686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526" w:type="dxa"/>
            <w:shd w:val="clear" w:color="auto" w:fill="auto"/>
            <w:vAlign w:val="center"/>
          </w:tcPr>
          <w:p>
            <w:pPr>
              <w:adjustRightInd w:val="0"/>
              <w:jc w:val="center"/>
              <w:rPr>
                <w:rFonts w:ascii="仿宋_GB2312" w:hAnsi="仿宋_GB2312" w:eastAsia="仿宋_GB2312" w:cs="仿宋_GB2312"/>
                <w:kern w:val="0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姓名</w:t>
            </w:r>
          </w:p>
        </w:tc>
        <w:tc>
          <w:tcPr>
            <w:tcW w:w="3118" w:type="dxa"/>
            <w:shd w:val="clear" w:color="auto" w:fill="auto"/>
            <w:vAlign w:val="center"/>
          </w:tcPr>
          <w:p>
            <w:pPr>
              <w:adjustRightInd w:val="0"/>
              <w:jc w:val="center"/>
              <w:rPr>
                <w:rFonts w:ascii="仿宋_GB2312" w:hAnsi="仿宋_GB2312" w:eastAsia="仿宋_GB2312" w:cs="仿宋_GB2312"/>
                <w:kern w:val="0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工作单位</w:t>
            </w:r>
          </w:p>
        </w:tc>
        <w:tc>
          <w:tcPr>
            <w:tcW w:w="3686" w:type="dxa"/>
            <w:shd w:val="clear" w:color="auto" w:fill="auto"/>
            <w:vAlign w:val="center"/>
          </w:tcPr>
          <w:p>
            <w:pPr>
              <w:adjustRightInd w:val="0"/>
              <w:jc w:val="center"/>
              <w:rPr>
                <w:rFonts w:ascii="仿宋_GB2312" w:hAnsi="仿宋_GB2312" w:eastAsia="仿宋_GB2312" w:cs="仿宋_GB2312"/>
                <w:kern w:val="0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职务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526" w:type="dxa"/>
            <w:shd w:val="clear" w:color="auto" w:fill="auto"/>
            <w:vAlign w:val="center"/>
          </w:tcPr>
          <w:p>
            <w:pPr>
              <w:adjustRightInd w:val="0"/>
              <w:jc w:val="center"/>
              <w:rPr>
                <w:rFonts w:ascii="仿宋_GB2312" w:hAnsi="仿宋_GB2312" w:eastAsia="仿宋_GB2312" w:cs="仿宋_GB2312"/>
                <w:kern w:val="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</w:rPr>
              <w:t>陈玉峰</w:t>
            </w:r>
          </w:p>
        </w:tc>
        <w:tc>
          <w:tcPr>
            <w:tcW w:w="3118" w:type="dxa"/>
            <w:shd w:val="clear" w:color="auto" w:fill="auto"/>
            <w:vAlign w:val="center"/>
          </w:tcPr>
          <w:p>
            <w:pPr>
              <w:adjustRightInd w:val="0"/>
              <w:jc w:val="center"/>
              <w:rPr>
                <w:rFonts w:ascii="仿宋_GB2312" w:hAnsi="仿宋_GB2312" w:eastAsia="仿宋_GB2312" w:cs="仿宋_GB2312"/>
                <w:kern w:val="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</w:rPr>
              <w:t>石家庄职业技术学院</w:t>
            </w:r>
          </w:p>
        </w:tc>
        <w:tc>
          <w:tcPr>
            <w:tcW w:w="3686" w:type="dxa"/>
            <w:shd w:val="clear" w:color="auto" w:fill="auto"/>
            <w:vAlign w:val="center"/>
          </w:tcPr>
          <w:p>
            <w:pPr>
              <w:adjustRightInd w:val="0"/>
              <w:jc w:val="center"/>
              <w:rPr>
                <w:rFonts w:ascii="仿宋_GB2312" w:hAnsi="仿宋_GB2312" w:eastAsia="仿宋_GB2312" w:cs="仿宋_GB2312"/>
                <w:kern w:val="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</w:rPr>
              <w:t>副院长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526" w:type="dxa"/>
            <w:shd w:val="clear" w:color="auto" w:fill="auto"/>
            <w:vAlign w:val="center"/>
          </w:tcPr>
          <w:p>
            <w:pPr>
              <w:adjustRightInd w:val="0"/>
              <w:jc w:val="center"/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</w:rPr>
              <w:t>刘建利</w:t>
            </w:r>
          </w:p>
        </w:tc>
        <w:tc>
          <w:tcPr>
            <w:tcW w:w="3118" w:type="dxa"/>
            <w:shd w:val="clear" w:color="auto" w:fill="auto"/>
            <w:vAlign w:val="center"/>
          </w:tcPr>
          <w:p>
            <w:pPr>
              <w:adjustRightInd w:val="0"/>
              <w:jc w:val="center"/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</w:rPr>
              <w:t>石家庄职业技术学院</w:t>
            </w:r>
          </w:p>
        </w:tc>
        <w:tc>
          <w:tcPr>
            <w:tcW w:w="3686" w:type="dxa"/>
            <w:shd w:val="clear" w:color="auto" w:fill="auto"/>
            <w:vAlign w:val="center"/>
          </w:tcPr>
          <w:p>
            <w:pPr>
              <w:adjustRightInd w:val="0"/>
              <w:jc w:val="center"/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</w:rPr>
              <w:t>财务及资产管理处处长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1526" w:type="dxa"/>
            <w:shd w:val="clear" w:color="auto" w:fill="auto"/>
            <w:vAlign w:val="center"/>
          </w:tcPr>
          <w:p>
            <w:pPr>
              <w:adjustRightInd w:val="0"/>
              <w:jc w:val="center"/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</w:rPr>
              <w:t>阎志涛</w:t>
            </w:r>
          </w:p>
        </w:tc>
        <w:tc>
          <w:tcPr>
            <w:tcW w:w="3118" w:type="dxa"/>
            <w:shd w:val="clear" w:color="auto" w:fill="auto"/>
            <w:vAlign w:val="center"/>
          </w:tcPr>
          <w:p>
            <w:pPr>
              <w:adjustRightInd w:val="0"/>
              <w:jc w:val="center"/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</w:rPr>
              <w:t>石家庄职业技术学院</w:t>
            </w:r>
          </w:p>
        </w:tc>
        <w:tc>
          <w:tcPr>
            <w:tcW w:w="3686" w:type="dxa"/>
            <w:shd w:val="clear" w:color="auto" w:fill="auto"/>
            <w:vAlign w:val="center"/>
          </w:tcPr>
          <w:p>
            <w:pPr>
              <w:adjustRightInd w:val="0"/>
              <w:jc w:val="center"/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</w:rPr>
              <w:t>财务及资产管理处副处长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526" w:type="dxa"/>
            <w:shd w:val="clear" w:color="auto" w:fill="auto"/>
            <w:vAlign w:val="center"/>
          </w:tcPr>
          <w:p>
            <w:pPr>
              <w:adjustRightInd w:val="0"/>
              <w:jc w:val="center"/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</w:rPr>
              <w:t>卢丽莎</w:t>
            </w:r>
          </w:p>
        </w:tc>
        <w:tc>
          <w:tcPr>
            <w:tcW w:w="3118" w:type="dxa"/>
            <w:shd w:val="clear" w:color="auto" w:fill="auto"/>
            <w:vAlign w:val="center"/>
          </w:tcPr>
          <w:p>
            <w:pPr>
              <w:adjustRightInd w:val="0"/>
              <w:jc w:val="center"/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</w:rPr>
              <w:t>石家庄职业技术学院</w:t>
            </w:r>
          </w:p>
        </w:tc>
        <w:tc>
          <w:tcPr>
            <w:tcW w:w="3686" w:type="dxa"/>
            <w:shd w:val="clear" w:color="auto" w:fill="auto"/>
            <w:vAlign w:val="center"/>
          </w:tcPr>
          <w:p>
            <w:pPr>
              <w:adjustRightInd w:val="0"/>
              <w:jc w:val="center"/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</w:rPr>
              <w:t>财务及资产管理处科员</w:t>
            </w:r>
          </w:p>
        </w:tc>
      </w:tr>
    </w:tbl>
    <w:p>
      <w:pPr>
        <w:autoSpaceDE w:val="0"/>
        <w:autoSpaceDN w:val="0"/>
        <w:adjustRightInd w:val="0"/>
        <w:ind w:left="198" w:firstLine="640" w:firstLineChars="200"/>
        <w:jc w:val="left"/>
        <w:rPr>
          <w:rFonts w:ascii="Times New Roman" w:hAnsi="Times New Roman" w:eastAsia="仿宋" w:cs="Times New Roman"/>
          <w:sz w:val="32"/>
          <w:szCs w:val="32"/>
        </w:rPr>
      </w:pPr>
    </w:p>
    <w:p>
      <w:pPr>
        <w:ind w:firstLine="5120" w:firstLineChars="1600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石家庄职业技术学院</w:t>
      </w:r>
    </w:p>
    <w:p>
      <w:pPr>
        <w:ind w:firstLine="5440" w:firstLineChars="1700"/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2023年4月18日</w:t>
      </w:r>
    </w:p>
    <w:p/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仿宋_GBK">
    <w:altName w:val="微软雅黑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方正书宋_GBK">
    <w:altName w:val="微软雅黑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小标宋_GBK">
    <w:altName w:val="微软雅黑"/>
    <w:panose1 w:val="00000000000000000000"/>
    <w:charset w:val="86"/>
    <w:family w:val="script"/>
    <w:pitch w:val="default"/>
    <w:sig w:usb0="00000000" w:usb1="00000000" w:usb2="00000000" w:usb3="00000000" w:csb0="00040000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CC8B3BB1"/>
    <w:multiLevelType w:val="singleLevel"/>
    <w:tmpl w:val="CC8B3BB1"/>
    <w:lvl w:ilvl="0" w:tentative="0">
      <w:start w:val="2"/>
      <w:numFmt w:val="decimal"/>
      <w:suff w:val="nothing"/>
      <w:lvlText w:val="%1、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06110CE"/>
    <w:rsid w:val="013D6C91"/>
    <w:rsid w:val="01ED514B"/>
    <w:rsid w:val="043D3D2C"/>
    <w:rsid w:val="04BD18F3"/>
    <w:rsid w:val="060B651B"/>
    <w:rsid w:val="085823AF"/>
    <w:rsid w:val="0A65578A"/>
    <w:rsid w:val="0A8F222E"/>
    <w:rsid w:val="0B8B573C"/>
    <w:rsid w:val="0C1A54B0"/>
    <w:rsid w:val="0D19328C"/>
    <w:rsid w:val="0E421D04"/>
    <w:rsid w:val="0F2F08A6"/>
    <w:rsid w:val="10A16F69"/>
    <w:rsid w:val="122F453B"/>
    <w:rsid w:val="12855F1F"/>
    <w:rsid w:val="12B214DC"/>
    <w:rsid w:val="12B7674B"/>
    <w:rsid w:val="143675F1"/>
    <w:rsid w:val="144D6E7D"/>
    <w:rsid w:val="145E4234"/>
    <w:rsid w:val="14BA2B64"/>
    <w:rsid w:val="1541644A"/>
    <w:rsid w:val="17451417"/>
    <w:rsid w:val="18FF5975"/>
    <w:rsid w:val="19383A11"/>
    <w:rsid w:val="19735C3C"/>
    <w:rsid w:val="19C9564D"/>
    <w:rsid w:val="1B0D09A6"/>
    <w:rsid w:val="1C063174"/>
    <w:rsid w:val="1DCD17FD"/>
    <w:rsid w:val="1E354DE4"/>
    <w:rsid w:val="1F343B8E"/>
    <w:rsid w:val="203A04A3"/>
    <w:rsid w:val="20962646"/>
    <w:rsid w:val="210D594A"/>
    <w:rsid w:val="230C2359"/>
    <w:rsid w:val="24240652"/>
    <w:rsid w:val="25B57D8E"/>
    <w:rsid w:val="266162E2"/>
    <w:rsid w:val="290B1A13"/>
    <w:rsid w:val="2AA82BAB"/>
    <w:rsid w:val="2B1A4B1B"/>
    <w:rsid w:val="2B6B5398"/>
    <w:rsid w:val="2C7C0BB1"/>
    <w:rsid w:val="2D002AD8"/>
    <w:rsid w:val="2E326295"/>
    <w:rsid w:val="2F164E62"/>
    <w:rsid w:val="31193B47"/>
    <w:rsid w:val="338D05D3"/>
    <w:rsid w:val="33992EE1"/>
    <w:rsid w:val="33E66437"/>
    <w:rsid w:val="362871D5"/>
    <w:rsid w:val="36FA0481"/>
    <w:rsid w:val="37A861E0"/>
    <w:rsid w:val="3C5E3DA1"/>
    <w:rsid w:val="3C88442B"/>
    <w:rsid w:val="3FB22DA7"/>
    <w:rsid w:val="40037C52"/>
    <w:rsid w:val="41CD0831"/>
    <w:rsid w:val="41E11F32"/>
    <w:rsid w:val="422B1F35"/>
    <w:rsid w:val="43527B9C"/>
    <w:rsid w:val="435F4B8B"/>
    <w:rsid w:val="459E23B2"/>
    <w:rsid w:val="49384316"/>
    <w:rsid w:val="4984581E"/>
    <w:rsid w:val="49916195"/>
    <w:rsid w:val="4D580B78"/>
    <w:rsid w:val="4DF5160A"/>
    <w:rsid w:val="4E8C017B"/>
    <w:rsid w:val="51437033"/>
    <w:rsid w:val="52D33A67"/>
    <w:rsid w:val="52F42212"/>
    <w:rsid w:val="53C3297F"/>
    <w:rsid w:val="54AC34C0"/>
    <w:rsid w:val="568D4830"/>
    <w:rsid w:val="5857651F"/>
    <w:rsid w:val="5895505D"/>
    <w:rsid w:val="5993429A"/>
    <w:rsid w:val="5A8341B9"/>
    <w:rsid w:val="5C31557E"/>
    <w:rsid w:val="5C3A00B1"/>
    <w:rsid w:val="5C913C44"/>
    <w:rsid w:val="5E8D27FE"/>
    <w:rsid w:val="5F0B72C0"/>
    <w:rsid w:val="5FF55C73"/>
    <w:rsid w:val="62947054"/>
    <w:rsid w:val="6341190E"/>
    <w:rsid w:val="64556F5E"/>
    <w:rsid w:val="64837ACB"/>
    <w:rsid w:val="66831F5B"/>
    <w:rsid w:val="66ED01CC"/>
    <w:rsid w:val="67D85133"/>
    <w:rsid w:val="67DC0204"/>
    <w:rsid w:val="682446D6"/>
    <w:rsid w:val="695B431F"/>
    <w:rsid w:val="69C21EF7"/>
    <w:rsid w:val="6A3D7354"/>
    <w:rsid w:val="6AF8793F"/>
    <w:rsid w:val="6BF46260"/>
    <w:rsid w:val="6CC10AD1"/>
    <w:rsid w:val="6CE36AB7"/>
    <w:rsid w:val="6E103A86"/>
    <w:rsid w:val="6F821D53"/>
    <w:rsid w:val="6FAA01F4"/>
    <w:rsid w:val="715560E2"/>
    <w:rsid w:val="72C8648B"/>
    <w:rsid w:val="72CF15E0"/>
    <w:rsid w:val="74F227BC"/>
    <w:rsid w:val="757A54F6"/>
    <w:rsid w:val="76EF07CB"/>
    <w:rsid w:val="778B35DA"/>
    <w:rsid w:val="79702823"/>
    <w:rsid w:val="7A420F32"/>
    <w:rsid w:val="7D0D692E"/>
    <w:rsid w:val="7D274CB8"/>
    <w:rsid w:val="7D794BBC"/>
    <w:rsid w:val="7D916C33"/>
    <w:rsid w:val="7FF758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qFormat="1"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pBdr>
        <w:top w:val="none" w:color="auto" w:sz="0" w:space="0"/>
        <w:left w:val="none" w:color="auto" w:sz="0" w:space="0"/>
        <w:bottom w:val="none" w:color="auto" w:sz="0" w:space="0"/>
        <w:right w:val="none" w:color="auto" w:sz="0" w:space="0"/>
      </w:pBdr>
      <w:spacing w:before="0" w:beforeAutospacing="0" w:after="0" w:afterAutospacing="0"/>
      <w:ind w:left="0" w:right="0"/>
      <w:jc w:val="left"/>
    </w:pPr>
    <w:rPr>
      <w:kern w:val="0"/>
      <w:sz w:val="24"/>
      <w:lang w:val="en-US" w:eastAsia="zh-CN" w:bidi="ar"/>
    </w:rPr>
  </w:style>
  <w:style w:type="character" w:styleId="5">
    <w:name w:val="FollowedHyperlink"/>
    <w:basedOn w:val="4"/>
    <w:qFormat/>
    <w:uiPriority w:val="0"/>
    <w:rPr>
      <w:color w:val="333333"/>
      <w:sz w:val="21"/>
      <w:szCs w:val="21"/>
      <w:u w:val="none"/>
    </w:rPr>
  </w:style>
  <w:style w:type="character" w:styleId="6">
    <w:name w:val="Hyperlink"/>
    <w:basedOn w:val="4"/>
    <w:qFormat/>
    <w:uiPriority w:val="0"/>
    <w:rPr>
      <w:color w:val="333333"/>
      <w:sz w:val="21"/>
      <w:szCs w:val="21"/>
      <w:u w:val="none"/>
    </w:rPr>
  </w:style>
  <w:style w:type="paragraph" w:customStyle="1" w:styleId="7">
    <w:name w:val="插入文本样式-插入部门职责文件"/>
    <w:basedOn w:val="1"/>
    <w:qFormat/>
    <w:uiPriority w:val="0"/>
    <w:pPr>
      <w:spacing w:before="0" w:after="0" w:line="500" w:lineRule="exact"/>
      <w:ind w:firstLine="560"/>
      <w:jc w:val="left"/>
      <w:outlineLvl w:val="9"/>
    </w:pPr>
    <w:rPr>
      <w:rFonts w:ascii="Times New Roman" w:hAnsi="Times New Roman" w:eastAsia="方正仿宋_GBK" w:cs="Times New Roman"/>
      <w:sz w:val="28"/>
    </w:rPr>
  </w:style>
  <w:style w:type="paragraph" w:customStyle="1" w:styleId="8">
    <w:name w:val="单元格样式1"/>
    <w:basedOn w:val="1"/>
    <w:qFormat/>
    <w:uiPriority w:val="0"/>
    <w:pPr>
      <w:spacing w:before="0" w:after="0"/>
      <w:ind w:firstLine="0"/>
      <w:jc w:val="center"/>
      <w:outlineLvl w:val="9"/>
    </w:pPr>
    <w:rPr>
      <w:rFonts w:ascii="方正书宋_GBK" w:hAnsi="方正书宋_GBK" w:eastAsia="方正书宋_GBK" w:cs="方正书宋_GBK"/>
      <w:b/>
      <w:sz w:val="21"/>
    </w:rPr>
  </w:style>
  <w:style w:type="paragraph" w:customStyle="1" w:styleId="9">
    <w:name w:val="单元格样式2"/>
    <w:basedOn w:val="1"/>
    <w:qFormat/>
    <w:uiPriority w:val="0"/>
    <w:pPr>
      <w:spacing w:before="0" w:after="0"/>
      <w:ind w:firstLine="0"/>
      <w:jc w:val="left"/>
      <w:outlineLvl w:val="9"/>
    </w:pPr>
    <w:rPr>
      <w:rFonts w:ascii="方正书宋_GBK" w:hAnsi="方正书宋_GBK" w:eastAsia="方正书宋_GBK" w:cs="方正书宋_GBK"/>
      <w:sz w:val="21"/>
    </w:rPr>
  </w:style>
  <w:style w:type="paragraph" w:customStyle="1" w:styleId="10">
    <w:name w:val="单元格样式3"/>
    <w:basedOn w:val="1"/>
    <w:qFormat/>
    <w:uiPriority w:val="0"/>
    <w:pPr>
      <w:spacing w:before="0" w:after="0"/>
      <w:ind w:firstLine="0"/>
      <w:jc w:val="center"/>
      <w:outlineLvl w:val="9"/>
    </w:pPr>
    <w:rPr>
      <w:rFonts w:ascii="方正书宋_GBK" w:hAnsi="方正书宋_GBK" w:eastAsia="方正书宋_GBK" w:cs="方正书宋_GBK"/>
      <w:sz w:val="21"/>
    </w:rPr>
  </w:style>
  <w:style w:type="paragraph" w:customStyle="1" w:styleId="11">
    <w:name w:val="插入文本样式-插入职责分类绩效目标文件"/>
    <w:basedOn w:val="1"/>
    <w:qFormat/>
    <w:uiPriority w:val="0"/>
    <w:pPr>
      <w:spacing w:before="0" w:after="0" w:line="500" w:lineRule="exact"/>
      <w:ind w:firstLine="560"/>
      <w:jc w:val="left"/>
      <w:outlineLvl w:val="9"/>
    </w:pPr>
    <w:rPr>
      <w:rFonts w:ascii="Times New Roman" w:hAnsi="Times New Roman" w:eastAsia="方正仿宋_GBK" w:cs="Times New Roman"/>
      <w:sz w:val="2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Office_11.8.2.10393_F1E327BC-269C-435d-A152-05C5408002CA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2022-03-26T09:05:00Z</dcterms:created>
  <dc:creator>Administrator</dc:creator>
  <cp:lastModifiedBy>Administrator</cp:lastModifiedBy>
  <cp:lastPrinted>2023-04-19T02:29:04Z</cp:lastPrinted>
  <dcterms:modified xsi:type="dcterms:W3CDTF">2023-04-19T02:35:38Z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2052-11.8.2.10393</vt:lpwstr>
  </property>
  <property fmtid="{D5CDD505-2E9C-101B-9397-08002B2CF9AE}" pid="3" name="ICV">
    <vt:lpwstr>82E11A9E20B24536AF6A6A263DB489EE</vt:lpwstr>
  </property>
</Properties>
</file>