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adjustRightInd w:val="0"/>
        <w:snapToGrid w:val="0"/>
        <w:spacing w:line="360" w:lineRule="auto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附件4：</w:t>
      </w:r>
    </w:p>
    <w:p>
      <w:pPr>
        <w:spacing w:line="360" w:lineRule="auto"/>
        <w:ind w:firstLine="883" w:firstLineChars="200"/>
        <w:jc w:val="center"/>
        <w:rPr>
          <w:rFonts w:ascii="宋体" w:hAnsi="宋体" w:cs="宋体"/>
          <w:b/>
          <w:bCs/>
          <w:sz w:val="44"/>
          <w:szCs w:val="44"/>
        </w:rPr>
      </w:pPr>
      <w:r>
        <w:rPr>
          <w:rFonts w:hint="eastAsia" w:ascii="宋体" w:hAnsi="宋体" w:cs="宋体"/>
          <w:b/>
          <w:bCs/>
          <w:sz w:val="44"/>
          <w:szCs w:val="44"/>
        </w:rPr>
        <w:t>委员活动经费项目自评报告</w:t>
      </w:r>
    </w:p>
    <w:p>
      <w:pPr>
        <w:spacing w:line="360" w:lineRule="auto"/>
        <w:ind w:firstLine="640" w:firstLineChars="200"/>
        <w:jc w:val="center"/>
        <w:rPr>
          <w:rFonts w:ascii="华文楷体" w:eastAsia="华文楷体"/>
          <w:sz w:val="32"/>
          <w:szCs w:val="32"/>
        </w:rPr>
      </w:pPr>
    </w:p>
    <w:p>
      <w:pPr>
        <w:adjustRightInd w:val="0"/>
        <w:snapToGrid w:val="0"/>
        <w:spacing w:line="360" w:lineRule="auto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根据《石家庄市财政支出绩效评价办法》（石财绩[2013]2号），遵循“科学性、规范性、客观性和公正性”的原则，政协石家庄市委员会（以下简称“市政协”）对2019年委员活动经费项目实施了财政支出绩效自评价，形成本评价报告。</w:t>
      </w:r>
    </w:p>
    <w:p>
      <w:pPr>
        <w:adjustRightInd w:val="0"/>
        <w:snapToGrid w:val="0"/>
        <w:spacing w:line="360" w:lineRule="auto"/>
        <w:ind w:firstLine="640" w:firstLineChars="200"/>
        <w:rPr>
          <w:rFonts w:ascii="黑体" w:eastAsia="黑体"/>
          <w:b/>
          <w:bCs/>
          <w:sz w:val="32"/>
          <w:szCs w:val="36"/>
        </w:rPr>
      </w:pPr>
      <w:r>
        <w:rPr>
          <w:rFonts w:hint="eastAsia" w:ascii="黑体" w:eastAsia="黑体"/>
          <w:sz w:val="32"/>
          <w:szCs w:val="32"/>
        </w:rPr>
        <w:t>一、项目</w:t>
      </w:r>
      <w:r>
        <w:rPr>
          <w:rFonts w:hint="eastAsia" w:ascii="黑体" w:eastAsia="黑体"/>
          <w:sz w:val="32"/>
          <w:szCs w:val="36"/>
        </w:rPr>
        <w:t>基本情况</w:t>
      </w:r>
    </w:p>
    <w:p>
      <w:pPr>
        <w:adjustRightInd w:val="0"/>
        <w:snapToGrid w:val="0"/>
        <w:spacing w:line="360" w:lineRule="auto"/>
        <w:ind w:firstLine="640" w:firstLineChars="200"/>
        <w:rPr>
          <w:rFonts w:ascii="楷体_GB2312" w:hAnsi="楷体_GB2312" w:eastAsia="楷体_GB2312" w:cs="楷体_GB2312"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Cs/>
          <w:sz w:val="32"/>
          <w:szCs w:val="32"/>
        </w:rPr>
        <w:t>（一）项目概况</w:t>
      </w:r>
    </w:p>
    <w:p>
      <w:pPr>
        <w:adjustRightInd w:val="0"/>
        <w:snapToGrid w:val="0"/>
        <w:spacing w:line="360" w:lineRule="auto"/>
        <w:ind w:firstLine="643" w:firstLineChars="200"/>
        <w:rPr>
          <w:rFonts w:ascii="仿宋_GB2312" w:eastAsia="仿宋_GB2312"/>
          <w:b/>
          <w:sz w:val="32"/>
          <w:szCs w:val="32"/>
        </w:rPr>
      </w:pPr>
      <w:r>
        <w:rPr>
          <w:rFonts w:hint="eastAsia" w:ascii="仿宋_GB2312" w:eastAsia="仿宋_GB2312"/>
          <w:b/>
          <w:sz w:val="32"/>
          <w:szCs w:val="32"/>
        </w:rPr>
        <w:t>1、实施单位</w:t>
      </w:r>
    </w:p>
    <w:p>
      <w:pPr>
        <w:adjustRightInd w:val="0"/>
        <w:snapToGrid w:val="0"/>
        <w:spacing w:line="360" w:lineRule="auto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市政协是财政拨款的正厅级行政单位，根据实际工作需要下设政协石家庄市委员会办公室、研究室、提案委员会、人口资源环境委员会、文化文史和学习委员会、财政经济委员会、农业和农村委员会、科教卫体委员会、社会和法制委员会（民族和宗教委员会）、港澳台侨和外事委员会。市政协2019年年末实有人数112人，其中：行政人员95人，非参公事业单位人员17人。市政协主要职责有认真学习贯彻中央和省、市委会议精神，做好委员学习和培训工作；完善各项会议制度；履行民主监督职责；开展调查研究，反映社情民意，进行协商讨论，向市委、市政府提出意见和建议等。</w:t>
      </w:r>
    </w:p>
    <w:p>
      <w:pPr>
        <w:adjustRightInd w:val="0"/>
        <w:snapToGrid w:val="0"/>
        <w:spacing w:line="360" w:lineRule="auto"/>
        <w:ind w:firstLine="643" w:firstLineChars="200"/>
        <w:rPr>
          <w:rFonts w:ascii="仿宋_GB2312" w:eastAsia="仿宋_GB2312"/>
          <w:b/>
          <w:sz w:val="32"/>
          <w:szCs w:val="32"/>
        </w:rPr>
      </w:pPr>
      <w:r>
        <w:rPr>
          <w:rFonts w:hint="eastAsia" w:ascii="仿宋_GB2312" w:eastAsia="仿宋_GB2312"/>
          <w:b/>
          <w:sz w:val="32"/>
          <w:szCs w:val="32"/>
        </w:rPr>
        <w:t>2、项目内容</w:t>
      </w:r>
    </w:p>
    <w:p>
      <w:pPr>
        <w:pStyle w:val="4"/>
        <w:widowControl/>
        <w:spacing w:line="360" w:lineRule="auto"/>
        <w:ind w:firstLine="640" w:firstLineChars="200"/>
        <w:jc w:val="both"/>
        <w:rPr>
          <w:rFonts w:ascii="仿宋" w:hAnsi="仿宋" w:eastAsia="仿宋" w:cs="仿宋"/>
          <w:kern w:val="2"/>
          <w:sz w:val="32"/>
          <w:szCs w:val="32"/>
        </w:rPr>
      </w:pPr>
      <w:r>
        <w:rPr>
          <w:rFonts w:hint="eastAsia" w:ascii="仿宋" w:hAnsi="仿宋" w:eastAsia="仿宋" w:cs="仿宋"/>
          <w:kern w:val="2"/>
          <w:sz w:val="32"/>
          <w:szCs w:val="32"/>
        </w:rPr>
        <w:t>政协委员是政协工作的主体，为充分发挥我市政协委员在政治协商、民主监督、参政议政方面起到的重要作用，市财政局每年向市政协安排委员活动经费预算。</w:t>
      </w:r>
    </w:p>
    <w:p>
      <w:pPr>
        <w:pStyle w:val="4"/>
        <w:widowControl/>
        <w:spacing w:line="360" w:lineRule="auto"/>
        <w:ind w:firstLine="640" w:firstLineChars="200"/>
        <w:jc w:val="both"/>
        <w:rPr>
          <w:rFonts w:ascii="仿宋_GB2312" w:eastAsia="仿宋_GB2312"/>
          <w:sz w:val="32"/>
          <w:szCs w:val="32"/>
        </w:rPr>
      </w:pPr>
      <w:r>
        <w:rPr>
          <w:rFonts w:hint="eastAsia" w:ascii="仿宋" w:hAnsi="仿宋" w:eastAsia="仿宋" w:cs="仿宋"/>
          <w:kern w:val="2"/>
          <w:sz w:val="32"/>
          <w:szCs w:val="32"/>
        </w:rPr>
        <w:t>该笔经费主要用于以下方面：一是市政协委员座谈会议、培训、调研视察，反映社情民意，化解矛盾、理顺情绪；二是为委员订阅政协相关报刊杂志，提升素养、开阔视野、丰富学识；三是组织开展界别活动，通过界别渠道密切联系群众，努力做到协调关系；四是</w:t>
      </w:r>
      <w:r>
        <w:rPr>
          <w:rFonts w:hint="eastAsia" w:ascii="仿宋" w:hAnsi="仿宋" w:eastAsia="仿宋" w:cs="仿宋"/>
          <w:sz w:val="32"/>
          <w:szCs w:val="32"/>
        </w:rPr>
        <w:t>与社会各界沟通及其他委员履职，</w:t>
      </w:r>
      <w:r>
        <w:rPr>
          <w:rFonts w:hint="eastAsia" w:ascii="仿宋" w:hAnsi="仿宋" w:eastAsia="仿宋" w:cs="仿宋"/>
          <w:kern w:val="2"/>
          <w:sz w:val="32"/>
          <w:szCs w:val="32"/>
        </w:rPr>
        <w:t>增进社会各阶层不同利益群体的和谐和稳定</w:t>
      </w:r>
      <w:r>
        <w:rPr>
          <w:rFonts w:hint="eastAsia" w:ascii="仿宋" w:hAnsi="仿宋" w:eastAsia="仿宋" w:cs="仿宋"/>
          <w:sz w:val="32"/>
          <w:szCs w:val="32"/>
        </w:rPr>
        <w:t>。</w:t>
      </w:r>
    </w:p>
    <w:p>
      <w:pPr>
        <w:adjustRightInd w:val="0"/>
        <w:snapToGrid w:val="0"/>
        <w:spacing w:line="360" w:lineRule="auto"/>
        <w:ind w:firstLine="643" w:firstLineChars="200"/>
        <w:rPr>
          <w:rFonts w:ascii="仿宋_GB2312" w:eastAsia="仿宋_GB2312"/>
          <w:b/>
          <w:sz w:val="32"/>
          <w:szCs w:val="32"/>
        </w:rPr>
      </w:pPr>
      <w:r>
        <w:rPr>
          <w:rFonts w:hint="eastAsia" w:ascii="仿宋_GB2312" w:eastAsia="仿宋_GB2312"/>
          <w:b/>
          <w:sz w:val="32"/>
          <w:szCs w:val="32"/>
        </w:rPr>
        <w:t>3、资金投入</w:t>
      </w:r>
    </w:p>
    <w:p>
      <w:pPr>
        <w:adjustRightInd w:val="0"/>
        <w:snapToGrid w:val="0"/>
        <w:spacing w:line="360" w:lineRule="auto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根据《石家庄市财政局关于批复2019年市直部门预算的通知》（石财预〔2019〕5号）文件，预计发放委员活动经费113万元，全部为财政拨款。</w:t>
      </w:r>
    </w:p>
    <w:p>
      <w:pPr>
        <w:adjustRightInd w:val="0"/>
        <w:snapToGrid w:val="0"/>
        <w:spacing w:line="360" w:lineRule="auto"/>
        <w:ind w:firstLine="640" w:firstLineChars="200"/>
        <w:rPr>
          <w:rFonts w:ascii="楷体_GB2312" w:hAnsi="楷体_GB2312" w:eastAsia="楷体_GB2312" w:cs="楷体_GB2312"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Cs/>
          <w:sz w:val="32"/>
          <w:szCs w:val="32"/>
        </w:rPr>
        <w:t>（二）项目预期绩效目标</w:t>
      </w:r>
    </w:p>
    <w:p>
      <w:pPr>
        <w:adjustRightInd w:val="0"/>
        <w:snapToGrid w:val="0"/>
        <w:spacing w:line="360" w:lineRule="auto"/>
        <w:ind w:firstLine="643" w:firstLineChars="200"/>
        <w:rPr>
          <w:rFonts w:ascii="仿宋_GB2312" w:eastAsia="仿宋_GB2312"/>
          <w:b/>
          <w:bCs/>
          <w:sz w:val="32"/>
          <w:szCs w:val="32"/>
        </w:rPr>
      </w:pPr>
      <w:r>
        <w:rPr>
          <w:rFonts w:hint="eastAsia" w:ascii="仿宋_GB2312" w:eastAsia="仿宋_GB2312"/>
          <w:b/>
          <w:bCs/>
          <w:sz w:val="32"/>
          <w:szCs w:val="32"/>
        </w:rPr>
        <w:t>1、绩效总目标</w:t>
      </w:r>
    </w:p>
    <w:p>
      <w:pPr>
        <w:adjustRightInd w:val="0"/>
        <w:snapToGrid w:val="0"/>
        <w:spacing w:line="360" w:lineRule="auto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市政协工作的成效很大程度取决于委员主体作用的发挥，没有委员的积极参与，政治协商、民主监督、参政议政就会成为无源之水、无本之木。因此，委员活动经费的绩效总目标为充分发挥我市政协委员在政治协商、民主监督、参政议政方面的重要作用，广泛凝聚共识，着力服务大局，为建设现代省会、经济强市作出贡献。</w:t>
      </w:r>
    </w:p>
    <w:p>
      <w:pPr>
        <w:adjustRightInd w:val="0"/>
        <w:snapToGrid w:val="0"/>
        <w:spacing w:line="360" w:lineRule="auto"/>
        <w:ind w:firstLine="643" w:firstLineChars="200"/>
        <w:rPr>
          <w:rFonts w:ascii="仿宋_GB2312" w:eastAsia="仿宋_GB2312"/>
          <w:b/>
          <w:bCs/>
          <w:sz w:val="32"/>
          <w:szCs w:val="32"/>
        </w:rPr>
      </w:pPr>
      <w:r>
        <w:rPr>
          <w:rFonts w:hint="eastAsia" w:ascii="仿宋_GB2312" w:eastAsia="仿宋_GB2312"/>
          <w:b/>
          <w:bCs/>
          <w:sz w:val="32"/>
          <w:szCs w:val="32"/>
        </w:rPr>
        <w:t>2、年度绩效目标</w:t>
      </w:r>
    </w:p>
    <w:p>
      <w:pPr>
        <w:adjustRightInd w:val="0"/>
        <w:snapToGrid w:val="0"/>
        <w:spacing w:line="360" w:lineRule="auto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市政协根据绩效总目标和机关职责制定了年度绩效目标。一是为全部政协委员订阅人民政协报，实现委员报刊书籍全覆盖，提升委员综合素质和履职能力；二是至少举办3次委员交流会和研讨会，为加强政协理论研究等工作提供平台；三是组织各界别委员活动，发挥委员的桥梁纽带作用；四是在媒体宣传方面被市级以上媒体报道6次，维护政府公信力。</w:t>
      </w:r>
    </w:p>
    <w:p>
      <w:pPr>
        <w:adjustRightInd w:val="0"/>
        <w:snapToGrid w:val="0"/>
        <w:spacing w:line="360" w:lineRule="auto"/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二、自评工作情况</w:t>
      </w:r>
    </w:p>
    <w:p>
      <w:pPr>
        <w:spacing w:line="360" w:lineRule="auto"/>
        <w:ind w:firstLine="640" w:firstLineChars="200"/>
        <w:rPr>
          <w:rFonts w:ascii="楷体_GB2312" w:hAnsi="楷体_GB2312" w:eastAsia="楷体_GB2312" w:cs="楷体_GB2312"/>
          <w:sz w:val="32"/>
          <w:szCs w:val="32"/>
        </w:rPr>
      </w:pPr>
      <w:r>
        <w:rPr>
          <w:rFonts w:hint="eastAsia" w:ascii="楷体_GB2312" w:hAnsi="楷体_GB2312" w:eastAsia="楷体_GB2312" w:cs="楷体_GB2312"/>
          <w:bCs/>
          <w:sz w:val="32"/>
          <w:szCs w:val="32"/>
        </w:rPr>
        <w:t>（一）自评的组织工作</w:t>
      </w:r>
    </w:p>
    <w:p>
      <w:pPr>
        <w:spacing w:line="360" w:lineRule="auto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按照市政协自评工作安排，成立由业务主管部门、财务部门以及第三方机构共同组成的绩效评价小组，事先制定了绩效评价方案，根据预算绩效指标，通过收集整理政策文件、账本凭证等相关资料，制定具体评价方案，依照工作计划安排对市政协委员活动经费的使用情况进行严格审核，重点关注项目实施情况、资金拨付情况、服务对象满意度等环节。</w:t>
      </w:r>
    </w:p>
    <w:p>
      <w:pPr>
        <w:spacing w:line="360" w:lineRule="auto"/>
        <w:ind w:firstLine="640" w:firstLineChars="200"/>
        <w:rPr>
          <w:rFonts w:ascii="楷体_GB2312" w:hAnsi="楷体_GB2312" w:eastAsia="楷体_GB2312" w:cs="楷体_GB2312"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Cs/>
          <w:sz w:val="32"/>
          <w:szCs w:val="32"/>
        </w:rPr>
        <w:t>（二）自评的方法和过程</w:t>
      </w:r>
    </w:p>
    <w:p>
      <w:pPr>
        <w:spacing w:line="360" w:lineRule="auto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政协开展全面自查，通过查阅相关资料、比对相关支持性文件，审查账簿凭证，查看项目具体实施情况后，对专项资金进行分析评价，对市政协参与活动的委员发放满意度问卷调查，严格按照文件要求，实事求是、客观公正地进行本次绩效评价工作，形成《委员活动经费项目评分表》和《委员活动经费项目自评报告》。</w:t>
      </w:r>
    </w:p>
    <w:p>
      <w:pPr>
        <w:spacing w:line="360" w:lineRule="auto"/>
        <w:ind w:firstLine="640" w:firstLineChars="200"/>
        <w:rPr>
          <w:rFonts w:ascii="仿宋_GB2312" w:eastAsia="仿宋_GB2312"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Cs/>
          <w:sz w:val="32"/>
          <w:szCs w:val="32"/>
        </w:rPr>
        <w:t>（三）建立绩效评价指标体系</w:t>
      </w:r>
    </w:p>
    <w:p>
      <w:pPr>
        <w:spacing w:line="360" w:lineRule="auto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本绩效指标评价总分设定为100分。</w:t>
      </w:r>
    </w:p>
    <w:p>
      <w:pPr>
        <w:spacing w:line="360" w:lineRule="auto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一级指标共设4个，包括产出指标、预算执行率指标、效益指标、满意度指标。</w:t>
      </w:r>
    </w:p>
    <w:p>
      <w:pPr>
        <w:spacing w:line="360" w:lineRule="auto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二级指标共设4个，包括数量指标、预算执行率、社会效益指标和满意度指标。</w:t>
      </w:r>
    </w:p>
    <w:p>
      <w:pPr>
        <w:spacing w:line="360" w:lineRule="auto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三级指标共设7个，分别按照指标的重要程度、项目实施阶段等因素综合确定，包含定量指标和定性指标，能准确反映预算项目的产出和效果。</w:t>
      </w:r>
    </w:p>
    <w:p>
      <w:pPr>
        <w:spacing w:line="360" w:lineRule="auto"/>
        <w:ind w:firstLine="640" w:firstLineChars="200"/>
        <w:rPr>
          <w:rFonts w:ascii="黑体" w:hAnsi="黑体" w:eastAsia="黑体"/>
          <w:b/>
          <w:bCs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三、项目执行及绩效实现情况</w:t>
      </w:r>
    </w:p>
    <w:p>
      <w:pPr>
        <w:spacing w:line="360" w:lineRule="auto"/>
        <w:ind w:firstLine="640" w:firstLineChars="200"/>
        <w:rPr>
          <w:rFonts w:ascii="楷体_GB2312" w:hAnsi="楷体_GB2312" w:eastAsia="楷体_GB2312" w:cs="楷体_GB2312"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Cs/>
          <w:sz w:val="32"/>
          <w:szCs w:val="32"/>
        </w:rPr>
        <w:t>（一）项目产出</w:t>
      </w:r>
    </w:p>
    <w:p>
      <w:pPr>
        <w:spacing w:line="360" w:lineRule="auto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市政协预计委员报刊书籍订阅人数与委员总数的比率达到100%。2019年为全部政协委员订阅了《人民政协报》，委员报刊书籍订阅率达到100%，保障了委员的日常学习，得10分；</w:t>
      </w:r>
    </w:p>
    <w:p>
      <w:pPr>
        <w:spacing w:line="360" w:lineRule="auto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2019年市政协预计举办交流会、研讨会次数3次。全年累计组织了40次交流会和研讨会，除此之外还举办了5次大讲堂，远超出预期目标，得15分；</w:t>
      </w:r>
    </w:p>
    <w:p>
      <w:pPr>
        <w:spacing w:line="360" w:lineRule="auto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预计被市级以上媒体报道6次。人民政协报、河北日报和市级主要新闻媒体对座谈协商、视察调研等委员活动报道10次，得15分。</w:t>
      </w:r>
    </w:p>
    <w:p>
      <w:pPr>
        <w:spacing w:line="360" w:lineRule="auto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综上合计，此项得分40分。</w:t>
      </w:r>
    </w:p>
    <w:p>
      <w:pPr>
        <w:spacing w:line="360" w:lineRule="auto"/>
        <w:ind w:firstLine="640" w:firstLineChars="200"/>
        <w:rPr>
          <w:rFonts w:ascii="仿宋_GB2312" w:eastAsia="仿宋_GB2312"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Cs/>
          <w:sz w:val="32"/>
          <w:szCs w:val="32"/>
        </w:rPr>
        <w:t>（二）预算执行情况</w:t>
      </w:r>
    </w:p>
    <w:p>
      <w:pPr>
        <w:spacing w:line="360" w:lineRule="auto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项目总投资113万元，全部为财政预算资金，项目实际到位113万元，实际支出为100.02万元，预算执行率为89%。原因：2019年“智慧政协”,平台软件试运行，对会议活动、培训等工作进行了覆盖，因此当年委员活动经费得到节约。</w:t>
      </w:r>
    </w:p>
    <w:p>
      <w:pPr>
        <w:spacing w:line="360" w:lineRule="auto"/>
        <w:ind w:firstLine="320" w:firstLineChars="1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此项满分10分，评价得分8.9分。</w:t>
      </w:r>
    </w:p>
    <w:p>
      <w:pPr>
        <w:spacing w:line="360" w:lineRule="auto"/>
        <w:ind w:firstLine="640" w:firstLineChars="200"/>
        <w:rPr>
          <w:rFonts w:ascii="楷体_GB2312" w:hAnsi="楷体_GB2312" w:eastAsia="楷体_GB2312" w:cs="楷体_GB2312"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Cs/>
          <w:sz w:val="32"/>
          <w:szCs w:val="32"/>
        </w:rPr>
        <w:t>（三）项目效益</w:t>
      </w:r>
    </w:p>
    <w:p>
      <w:pPr>
        <w:spacing w:line="360" w:lineRule="auto"/>
        <w:ind w:firstLine="643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b/>
          <w:sz w:val="32"/>
          <w:szCs w:val="32"/>
        </w:rPr>
        <w:t>发挥民主协商作用。</w:t>
      </w:r>
      <w:r>
        <w:rPr>
          <w:rFonts w:hint="eastAsia" w:ascii="仿宋_GB2312" w:eastAsia="仿宋_GB2312"/>
          <w:sz w:val="32"/>
          <w:szCs w:val="32"/>
        </w:rPr>
        <w:t>委员活动经费在资金上保障了活动的正常开展，委员活动的开展对于完善各项会议制度，规范会议程序，提高会议质量，提高政治协商水平具有积极影响，得20分；</w:t>
      </w:r>
    </w:p>
    <w:p>
      <w:pPr>
        <w:spacing w:line="360" w:lineRule="auto"/>
        <w:ind w:firstLine="643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b/>
          <w:sz w:val="32"/>
          <w:szCs w:val="32"/>
        </w:rPr>
        <w:t>提升履职能力。</w:t>
      </w:r>
      <w:r>
        <w:rPr>
          <w:rFonts w:hint="eastAsia" w:ascii="仿宋_GB2312" w:eastAsia="仿宋_GB2312"/>
          <w:sz w:val="32"/>
          <w:szCs w:val="32"/>
        </w:rPr>
        <w:t>通过开展“政协大讲堂”培训活动，开拓了委员视野，提高了委员履职意识、履职能力和履职成效，对提升政治把握能力和调查研究能力提供了有益帮助，得20分。</w:t>
      </w:r>
    </w:p>
    <w:p>
      <w:pPr>
        <w:spacing w:line="360" w:lineRule="auto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综上合计，此项得分40分。</w:t>
      </w:r>
    </w:p>
    <w:p>
      <w:pPr>
        <w:spacing w:line="360" w:lineRule="auto"/>
        <w:ind w:firstLine="640" w:firstLineChars="200"/>
        <w:rPr>
          <w:rFonts w:ascii="楷体_GB2312" w:hAnsi="楷体_GB2312" w:eastAsia="楷体_GB2312" w:cs="楷体_GB2312"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Cs/>
          <w:sz w:val="32"/>
          <w:szCs w:val="32"/>
        </w:rPr>
        <w:t>（四）满意度</w:t>
      </w:r>
    </w:p>
    <w:p>
      <w:pPr>
        <w:adjustRightInd w:val="0"/>
        <w:snapToGrid w:val="0"/>
        <w:spacing w:line="360" w:lineRule="auto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评价组结合委员活动经费项目的实际情况，制作了调查问卷，以政协委员为对象，调查其对2019年委员活动的满意程度，搜集调查问卷30份，其中满意和较满意人数占调查总量的100%，达到预期目标95%。</w:t>
      </w:r>
    </w:p>
    <w:p>
      <w:pPr>
        <w:spacing w:line="360" w:lineRule="auto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此项满分10分，自评得分10分。</w:t>
      </w:r>
    </w:p>
    <w:p>
      <w:pPr>
        <w:spacing w:line="360" w:lineRule="auto"/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四、项目综合评价结论和评价等级</w:t>
      </w:r>
    </w:p>
    <w:p>
      <w:pPr>
        <w:spacing w:line="360" w:lineRule="auto"/>
        <w:ind w:firstLine="643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b/>
          <w:sz w:val="32"/>
          <w:szCs w:val="32"/>
        </w:rPr>
        <w:t>思想上，</w:t>
      </w:r>
      <w:r>
        <w:rPr>
          <w:rFonts w:hint="eastAsia" w:ascii="仿宋_GB2312" w:eastAsia="仿宋_GB2312"/>
          <w:sz w:val="32"/>
          <w:szCs w:val="32"/>
        </w:rPr>
        <w:t>坚持以习近平新时代中国特色社会主义思想为指引，紧紧围绕建设现代省会、经济强市的目标；</w:t>
      </w:r>
      <w:r>
        <w:rPr>
          <w:rFonts w:hint="eastAsia" w:ascii="仿宋_GB2312" w:eastAsia="仿宋_GB2312"/>
          <w:b/>
          <w:sz w:val="32"/>
          <w:szCs w:val="32"/>
        </w:rPr>
        <w:t>业务上，</w:t>
      </w:r>
      <w:r>
        <w:rPr>
          <w:rFonts w:hint="eastAsia" w:ascii="仿宋_GB2312" w:eastAsia="仿宋_GB2312"/>
          <w:sz w:val="32"/>
          <w:szCs w:val="32"/>
        </w:rPr>
        <w:t>该项目的实施对提升委员履职能力、协调关系、汇聚力量、建言献策、服务大局具有重要意义；</w:t>
      </w:r>
      <w:r>
        <w:rPr>
          <w:rFonts w:hint="eastAsia" w:ascii="仿宋_GB2312" w:eastAsia="仿宋_GB2312"/>
          <w:b/>
          <w:sz w:val="32"/>
          <w:szCs w:val="32"/>
        </w:rPr>
        <w:t>财务上，</w:t>
      </w:r>
      <w:r>
        <w:rPr>
          <w:rFonts w:hint="eastAsia" w:ascii="仿宋_GB2312" w:eastAsia="仿宋_GB2312"/>
          <w:sz w:val="32"/>
          <w:szCs w:val="32"/>
        </w:rPr>
        <w:t>经费支出审批流程规范、资金支出合理。通过一年的工作，达到了预期目标，实现了预期效果，对调动委员参政议政积极性发挥了重要作用，受到委员的肯定。但是，该项目在活动开展形式多样性方面还可以进一步提升。</w:t>
      </w:r>
    </w:p>
    <w:p>
      <w:pPr>
        <w:spacing w:line="360" w:lineRule="auto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综上，该项目综合得分98.9分，评价等级为“优”。</w:t>
      </w:r>
    </w:p>
    <w:p>
      <w:pPr>
        <w:spacing w:line="360" w:lineRule="auto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五、存在的问题及改进措施</w:t>
      </w:r>
    </w:p>
    <w:p>
      <w:pPr>
        <w:spacing w:line="360" w:lineRule="auto"/>
        <w:ind w:firstLine="640" w:firstLineChars="200"/>
        <w:rPr>
          <w:rFonts w:ascii="楷体_GB2312" w:hAnsi="楷体_GB2312" w:eastAsia="楷体_GB2312"/>
          <w:bCs/>
          <w:sz w:val="32"/>
          <w:szCs w:val="32"/>
        </w:rPr>
      </w:pPr>
      <w:r>
        <w:rPr>
          <w:rFonts w:hint="eastAsia" w:ascii="楷体_GB2312" w:hAnsi="楷体_GB2312" w:eastAsia="楷体_GB2312"/>
          <w:bCs/>
          <w:sz w:val="32"/>
          <w:szCs w:val="32"/>
        </w:rPr>
        <w:t>（一）存在的问题</w:t>
      </w:r>
    </w:p>
    <w:p>
      <w:pPr>
        <w:spacing w:line="360" w:lineRule="auto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2019年虽然较好的完成了委员活动组织工作，但是还存在一些不足。组织委员活动较为单一，在广泛程度、组织形式灵活多样性和创新性方面仍有提升空间。</w:t>
      </w:r>
    </w:p>
    <w:p>
      <w:pPr>
        <w:spacing w:line="360" w:lineRule="auto"/>
        <w:ind w:firstLine="640" w:firstLineChars="200"/>
        <w:rPr>
          <w:rFonts w:ascii="楷体_GB2312" w:hAnsi="楷体_GB2312" w:eastAsia="楷体_GB2312"/>
          <w:bCs/>
          <w:sz w:val="32"/>
          <w:szCs w:val="32"/>
        </w:rPr>
      </w:pPr>
      <w:r>
        <w:rPr>
          <w:rFonts w:hint="eastAsia" w:ascii="楷体_GB2312" w:hAnsi="楷体_GB2312" w:eastAsia="楷体_GB2312"/>
          <w:bCs/>
          <w:sz w:val="32"/>
          <w:szCs w:val="32"/>
        </w:rPr>
        <w:t>（二）改进措施</w:t>
      </w:r>
    </w:p>
    <w:p>
      <w:pPr>
        <w:spacing w:line="360" w:lineRule="auto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在委员活动开展形式方面积极探索，征求委员意见，不断丰富活动形式，进一步提高委员活动的吸引力，使委员活动更加多彩。</w:t>
      </w:r>
    </w:p>
    <w:p>
      <w:pPr>
        <w:adjustRightInd w:val="0"/>
        <w:snapToGrid w:val="0"/>
        <w:spacing w:line="360" w:lineRule="auto"/>
        <w:ind w:firstLine="640" w:firstLineChars="200"/>
        <w:rPr>
          <w:rFonts w:ascii="仿宋_GB2312" w:hAnsi="仿宋" w:eastAsia="仿宋_GB2312"/>
          <w:sz w:val="32"/>
          <w:szCs w:val="32"/>
        </w:rPr>
      </w:pPr>
      <w:r>
        <w:rPr>
          <w:rFonts w:hint="eastAsia" w:ascii="黑体" w:eastAsia="黑体"/>
          <w:sz w:val="32"/>
          <w:szCs w:val="32"/>
        </w:rPr>
        <w:t>六、评价工作组人员名单及签字</w:t>
      </w:r>
    </w:p>
    <w:p>
      <w:pPr>
        <w:spacing w:line="360" w:lineRule="auto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组  长 赵  磊  石家庄市政协秘书长</w:t>
      </w:r>
      <w:bookmarkStart w:id="0" w:name="_GoBack"/>
      <w:bookmarkEnd w:id="0"/>
    </w:p>
    <w:p>
      <w:pPr>
        <w:spacing w:line="360" w:lineRule="auto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副组长 李法仓  石家庄市政协常务副秘书长</w:t>
      </w:r>
    </w:p>
    <w:p>
      <w:pPr>
        <w:spacing w:line="360" w:lineRule="auto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 xml:space="preserve">       贾朝伟  石家庄市政协副秘书长</w:t>
      </w:r>
    </w:p>
    <w:p>
      <w:pPr>
        <w:spacing w:line="360" w:lineRule="auto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成  员 张  烨  石家庄市政协财务处长</w:t>
      </w:r>
    </w:p>
    <w:p>
      <w:pPr>
        <w:spacing w:line="360" w:lineRule="auto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 xml:space="preserve">       尹军海  石家庄市政协综合信息处处长</w:t>
      </w:r>
    </w:p>
    <w:p>
      <w:pPr>
        <w:spacing w:line="360" w:lineRule="auto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 xml:space="preserve">       郭俊玲  石家庄市政协提案委员会</w:t>
      </w:r>
    </w:p>
    <w:p>
      <w:pPr>
        <w:spacing w:line="360" w:lineRule="auto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 xml:space="preserve">       陈  云  石家庄市政协人口和资源委员会办公室主任</w:t>
      </w:r>
    </w:p>
    <w:p>
      <w:pPr>
        <w:spacing w:line="360" w:lineRule="auto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 xml:space="preserve">       杜晓烨  石家庄市政协文化文史和学习委员会办公室主任</w:t>
      </w:r>
    </w:p>
    <w:p>
      <w:pPr>
        <w:spacing w:line="360" w:lineRule="auto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 xml:space="preserve">       杨丽烨  石家庄市政协财政经济委员会办公室主任</w:t>
      </w:r>
    </w:p>
    <w:p>
      <w:pPr>
        <w:spacing w:line="360" w:lineRule="auto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 xml:space="preserve">       宋云华  石家庄市政协农业和农村委员会办公室主任</w:t>
      </w:r>
    </w:p>
    <w:p>
      <w:pPr>
        <w:spacing w:line="360" w:lineRule="auto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 xml:space="preserve">       孙海洲  石家庄市政协教科卫体委员会办公室主任</w:t>
      </w:r>
    </w:p>
    <w:p>
      <w:pPr>
        <w:spacing w:line="360" w:lineRule="auto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 xml:space="preserve">       魏  娟  石家庄市政协社会和法制委员会办公室主任</w:t>
      </w:r>
    </w:p>
    <w:p>
      <w:pPr>
        <w:spacing w:line="360" w:lineRule="auto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 xml:space="preserve">       王兴俊  石家庄市政协港澳台侨和外事委员会办公室主任</w:t>
      </w:r>
    </w:p>
    <w:sectPr>
      <w:headerReference r:id="rId3" w:type="default"/>
      <w:footerReference r:id="rId4" w:type="default"/>
      <w:pgSz w:w="11906" w:h="16838"/>
      <w:pgMar w:top="1440" w:right="1800" w:bottom="1440" w:left="1800" w:header="851" w:footer="992" w:gutter="0"/>
      <w:pgNumType w:fmt="numberInDash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altName w:val="仿宋"/>
    <w:panose1 w:val="00000000000000000000"/>
    <w:charset w:val="86"/>
    <w:family w:val="modern"/>
    <w:pitch w:val="default"/>
    <w:sig w:usb0="00000000" w:usb1="00000000" w:usb2="00000000" w:usb3="00000000" w:csb0="00040000" w:csb1="00000000"/>
  </w:font>
  <w:font w:name="华文楷体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楷体_GB2312">
    <w:altName w:val="楷体"/>
    <w:panose1 w:val="00000000000000000000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  <w:r>
      <w:pict>
        <v:shape id="_x0000_s4097" o:spid="_x0000_s4097" o:spt="202" type="#_x0000_t202" style="position:absolute;left:0pt;margin-top:0pt;height:144pt;width:144pt;mso-position-horizontal:center;mso-position-horizontal-relative:margin;mso-wrap-style:none;z-index:1024;mso-width-relative:page;mso-height-relative:page;" filled="f" stroked="f" coordsize="21600,21600">
          <v:path/>
          <v:fill on="f" focussize="0,0"/>
          <v:stroke on="f" joinstyle="miter"/>
          <v:imagedata o:title=""/>
          <o:lock v:ext="edit"/>
          <v:textbox inset="0mm,0mm,0mm,0mm" style="mso-fit-shape-to-text:t;">
            <w:txbxContent>
              <w:p>
                <w:pPr>
                  <w:snapToGrid w:val="0"/>
                  <w:rPr>
                    <w:sz w:val="18"/>
                  </w:rPr>
                </w:pPr>
                <w:r>
                  <w:rPr>
                    <w:rFonts w:hint="eastAsia"/>
                    <w:sz w:val="18"/>
                  </w:rPr>
                  <w:fldChar w:fldCharType="begin"/>
                </w:r>
                <w:r>
                  <w:rPr>
                    <w:rFonts w:hint="eastAsia"/>
                    <w:sz w:val="18"/>
                  </w:rPr>
                  <w:instrText xml:space="preserve"> PAGE  \* MERGEFORMAT </w:instrText>
                </w:r>
                <w:r>
                  <w:rPr>
                    <w:rFonts w:hint="eastAsia"/>
                    <w:sz w:val="18"/>
                  </w:rPr>
                  <w:fldChar w:fldCharType="separate"/>
                </w:r>
                <w:r>
                  <w:rPr>
                    <w:sz w:val="18"/>
                  </w:rPr>
                  <w:t>- 7 -</w:t>
                </w:r>
                <w:r>
                  <w:rPr>
                    <w:rFonts w:hint="eastAsia"/>
                    <w:sz w:val="18"/>
                  </w:rPr>
                  <w:fldChar w:fldCharType="end"/>
                </w:r>
              </w:p>
            </w:txbxContent>
          </v:textbox>
        </v:shape>
      </w:pic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1"/>
  <w:bordersDoNotSurroundFooter w:val="1"/>
  <w:doNotTrackMoves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3,4"/>
    </o:shapelayout>
  </w:hdrShapeDefaults>
  <w:compat>
    <w:spaceForUL/>
    <w:balanceSingleByteDoubleByteWidth/>
    <w:doNotLeaveBackslashAlone/>
    <w:ulTrailSpace/>
    <w:doNotExpandShiftReturn/>
    <w:adjustLineHeightInTable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EBD2122"/>
    <w:rsid w:val="00020A13"/>
    <w:rsid w:val="000756BB"/>
    <w:rsid w:val="001662DA"/>
    <w:rsid w:val="00167997"/>
    <w:rsid w:val="00176EDB"/>
    <w:rsid w:val="001C409C"/>
    <w:rsid w:val="00230325"/>
    <w:rsid w:val="0024351E"/>
    <w:rsid w:val="00254E71"/>
    <w:rsid w:val="0028138B"/>
    <w:rsid w:val="002E0694"/>
    <w:rsid w:val="002F032A"/>
    <w:rsid w:val="003020CF"/>
    <w:rsid w:val="00352ACA"/>
    <w:rsid w:val="00441D94"/>
    <w:rsid w:val="00481D7D"/>
    <w:rsid w:val="004A4EB7"/>
    <w:rsid w:val="004A7BC5"/>
    <w:rsid w:val="004D42A2"/>
    <w:rsid w:val="00561D9C"/>
    <w:rsid w:val="00592D01"/>
    <w:rsid w:val="005A6E4E"/>
    <w:rsid w:val="005C418B"/>
    <w:rsid w:val="00682865"/>
    <w:rsid w:val="00690623"/>
    <w:rsid w:val="006A03CE"/>
    <w:rsid w:val="00766773"/>
    <w:rsid w:val="007D1E6D"/>
    <w:rsid w:val="00825580"/>
    <w:rsid w:val="008838FE"/>
    <w:rsid w:val="00887ABE"/>
    <w:rsid w:val="008E4953"/>
    <w:rsid w:val="009503D5"/>
    <w:rsid w:val="00A02E0D"/>
    <w:rsid w:val="00A70979"/>
    <w:rsid w:val="00AC6025"/>
    <w:rsid w:val="00AD48D4"/>
    <w:rsid w:val="00AF3AC3"/>
    <w:rsid w:val="00B10D03"/>
    <w:rsid w:val="00BD616A"/>
    <w:rsid w:val="00BF6577"/>
    <w:rsid w:val="00C0631D"/>
    <w:rsid w:val="00C43562"/>
    <w:rsid w:val="00DD74AB"/>
    <w:rsid w:val="00E5307E"/>
    <w:rsid w:val="00EE65BC"/>
    <w:rsid w:val="00F57660"/>
    <w:rsid w:val="00F85598"/>
    <w:rsid w:val="00F90059"/>
    <w:rsid w:val="00F91DAE"/>
    <w:rsid w:val="00FA018E"/>
    <w:rsid w:val="00FE7E6F"/>
    <w:rsid w:val="01AA0238"/>
    <w:rsid w:val="02B43A28"/>
    <w:rsid w:val="0EB97A43"/>
    <w:rsid w:val="0EBD2122"/>
    <w:rsid w:val="11B71E6A"/>
    <w:rsid w:val="197206B5"/>
    <w:rsid w:val="1AAF0063"/>
    <w:rsid w:val="1BD8129F"/>
    <w:rsid w:val="1BE140DE"/>
    <w:rsid w:val="1D0567B0"/>
    <w:rsid w:val="248C197D"/>
    <w:rsid w:val="252959AF"/>
    <w:rsid w:val="277A6671"/>
    <w:rsid w:val="2A3A1AA0"/>
    <w:rsid w:val="2FA00716"/>
    <w:rsid w:val="33EB6CFF"/>
    <w:rsid w:val="3B625C0A"/>
    <w:rsid w:val="3CEE1963"/>
    <w:rsid w:val="40C3347B"/>
    <w:rsid w:val="46180D7B"/>
    <w:rsid w:val="4A9C7A7D"/>
    <w:rsid w:val="512260B4"/>
    <w:rsid w:val="54746BE9"/>
    <w:rsid w:val="58934E33"/>
    <w:rsid w:val="62E3495D"/>
    <w:rsid w:val="66AF0CE5"/>
    <w:rsid w:val="6E5B14A6"/>
    <w:rsid w:val="71A908AC"/>
    <w:rsid w:val="76FC1775"/>
    <w:rsid w:val="7BB51E06"/>
    <w:rsid w:val="7C387F7C"/>
    <w:rsid w:val="7F1E50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semiHidden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iPriority="99" w:semiHidden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黑体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unhideWhenUsed/>
    <w:qFormat/>
    <w:uiPriority w:val="1"/>
  </w:style>
  <w:style w:type="table" w:default="1" w:styleId="6">
    <w:name w:val="Normal Table"/>
    <w:unhideWhenUsed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rFonts w:ascii="Times New Roman" w:hAnsi="Times New Roman"/>
      <w:sz w:val="18"/>
    </w:rPr>
  </w:style>
  <w:style w:type="paragraph" w:styleId="4">
    <w:name w:val="Normal (Web)"/>
    <w:basedOn w:val="1"/>
    <w:qFormat/>
    <w:uiPriority w:val="0"/>
    <w:pPr>
      <w:jc w:val="left"/>
    </w:pPr>
    <w:rPr>
      <w:rFonts w:ascii="Times New Roman" w:hAnsi="Times New Roman" w:cs="Times New Roman"/>
      <w:kern w:val="0"/>
      <w:sz w:val="24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Tahoma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Tahoma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4097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7</Pages>
  <Words>454</Words>
  <Characters>2591</Characters>
  <Lines>21</Lines>
  <Paragraphs>6</Paragraphs>
  <ScaleCrop>false</ScaleCrop>
  <LinksUpToDate>false</LinksUpToDate>
  <CharactersWithSpaces>3039</CharactersWithSpaces>
  <Application>WPS Office_10.8.0.6206_F1E327BC-269C-435d-A152-05C5408002CA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2020-02-04T03:46:00Z</dcterms:created>
  <dc:creator>欣欣大人</dc:creator>
  <cp:lastModifiedBy>lenovo</cp:lastModifiedBy>
  <cp:lastPrinted>2020-02-12T05:54:00Z</cp:lastPrinted>
  <dcterms:modified xsi:type="dcterms:W3CDTF">2020-06-01T06:52:20Z</dcterms:modified>
  <dc:title>附件3：</dc:title>
  <cp:revision>40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2052-10.8.0.6206</vt:lpwstr>
  </property>
</Properties>
</file>