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ascii="仿宋_GB2312" w:eastAsia="仿宋_GB2312"/>
          <w:sz w:val="32"/>
          <w:szCs w:val="32"/>
        </w:rPr>
      </w:pPr>
      <w:r>
        <w:rPr>
          <w:rFonts w:hint="eastAsia" w:ascii="仿宋_GB2312" w:eastAsia="仿宋_GB2312"/>
          <w:sz w:val="32"/>
          <w:szCs w:val="32"/>
        </w:rPr>
        <w:t>附件</w:t>
      </w:r>
      <w:r>
        <w:rPr>
          <w:rFonts w:hint="eastAsia" w:ascii="仿宋_GB2312" w:eastAsia="仿宋_GB2312"/>
          <w:sz w:val="32"/>
          <w:szCs w:val="32"/>
          <w:lang w:val="en-US" w:eastAsia="zh-CN"/>
        </w:rPr>
        <w:t>4</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宋体" w:hAnsi="宋体" w:cs="宋体"/>
          <w:b/>
          <w:bCs/>
          <w:sz w:val="44"/>
          <w:szCs w:val="44"/>
        </w:rPr>
      </w:pPr>
      <w:bookmarkStart w:id="0" w:name="_GoBack"/>
      <w:r>
        <w:rPr>
          <w:rFonts w:hint="eastAsia" w:ascii="宋体" w:hAnsi="宋体" w:cs="宋体"/>
          <w:b/>
          <w:bCs/>
          <w:sz w:val="44"/>
          <w:szCs w:val="44"/>
          <w:lang w:eastAsia="zh-CN"/>
        </w:rPr>
        <w:t>石家庄市文化广电和旅游局部门</w:t>
      </w:r>
      <w:r>
        <w:rPr>
          <w:rFonts w:hint="eastAsia" w:ascii="宋体" w:hAnsi="宋体" w:cs="宋体"/>
          <w:b/>
          <w:bCs/>
          <w:sz w:val="44"/>
          <w:szCs w:val="44"/>
          <w:lang w:val="en-US" w:eastAsia="zh-CN"/>
        </w:rPr>
        <w:t>2021年度整体支出绩效</w:t>
      </w:r>
      <w:r>
        <w:rPr>
          <w:rFonts w:hint="eastAsia" w:ascii="宋体" w:hAnsi="宋体" w:cs="宋体"/>
          <w:b/>
          <w:bCs/>
          <w:sz w:val="44"/>
          <w:szCs w:val="44"/>
        </w:rPr>
        <w:t>自评报告</w:t>
      </w:r>
    </w:p>
    <w:p>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贯彻落实</w:t>
      </w:r>
      <w:r>
        <w:rPr>
          <w:rFonts w:hint="eastAsia" w:ascii="仿宋" w:hAnsi="仿宋" w:eastAsia="仿宋" w:cs="仿宋"/>
          <w:sz w:val="32"/>
          <w:szCs w:val="32"/>
          <w:lang w:eastAsia="zh-CN"/>
        </w:rPr>
        <w:t>市委市政府《关于全面落实预算绩效管理的实施意见》（石发﹝</w:t>
      </w:r>
      <w:r>
        <w:rPr>
          <w:rFonts w:hint="eastAsia" w:ascii="仿宋" w:hAnsi="仿宋" w:eastAsia="仿宋" w:cs="仿宋"/>
          <w:sz w:val="32"/>
          <w:szCs w:val="32"/>
          <w:lang w:val="en-US" w:eastAsia="zh-CN"/>
        </w:rPr>
        <w:t>2019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8号</w:t>
      </w:r>
      <w:r>
        <w:rPr>
          <w:rFonts w:hint="eastAsia" w:ascii="仿宋" w:hAnsi="仿宋" w:eastAsia="仿宋" w:cs="仿宋"/>
          <w:sz w:val="32"/>
          <w:szCs w:val="32"/>
          <w:lang w:eastAsia="zh-CN"/>
        </w:rPr>
        <w:t>）</w:t>
      </w:r>
      <w:r>
        <w:rPr>
          <w:rFonts w:hint="eastAsia" w:ascii="仿宋" w:hAnsi="仿宋" w:eastAsia="仿宋" w:cs="仿宋"/>
          <w:sz w:val="32"/>
          <w:szCs w:val="32"/>
        </w:rPr>
        <w:t>文件精神，遵循“科学性、规范性、客观性和公正性”的原则，对</w:t>
      </w:r>
      <w:r>
        <w:rPr>
          <w:rFonts w:hint="eastAsia" w:ascii="仿宋" w:hAnsi="仿宋" w:eastAsia="仿宋" w:cs="仿宋"/>
          <w:sz w:val="32"/>
          <w:szCs w:val="32"/>
          <w:lang w:eastAsia="zh-CN"/>
        </w:rPr>
        <w:t>市文广旅部门</w:t>
      </w:r>
      <w:r>
        <w:rPr>
          <w:rFonts w:hint="eastAsia" w:ascii="仿宋" w:hAnsi="仿宋" w:eastAsia="仿宋" w:cs="仿宋"/>
          <w:sz w:val="32"/>
          <w:szCs w:val="32"/>
          <w:lang w:val="en-US" w:eastAsia="zh-CN"/>
        </w:rPr>
        <w:t>2021年</w:t>
      </w:r>
      <w:r>
        <w:rPr>
          <w:rFonts w:hint="eastAsia" w:ascii="仿宋" w:hAnsi="仿宋" w:eastAsia="仿宋" w:cs="仿宋"/>
          <w:sz w:val="32"/>
          <w:szCs w:val="32"/>
          <w:lang w:eastAsia="zh-CN"/>
        </w:rPr>
        <w:t>整体支出情况</w:t>
      </w:r>
      <w:r>
        <w:rPr>
          <w:rFonts w:hint="eastAsia" w:ascii="仿宋" w:hAnsi="仿宋" w:eastAsia="仿宋" w:cs="仿宋"/>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textAlignment w:val="auto"/>
        <w:outlineLvl w:val="9"/>
        <w:rPr>
          <w:rFonts w:hint="eastAsia" w:ascii="仿宋" w:hAnsi="仿宋" w:eastAsia="仿宋" w:cs="仿宋"/>
          <w:b/>
          <w:bCs/>
          <w:sz w:val="32"/>
          <w:szCs w:val="36"/>
        </w:rPr>
      </w:pPr>
      <w:r>
        <w:rPr>
          <w:rFonts w:hint="eastAsia" w:ascii="仿宋" w:hAnsi="仿宋" w:eastAsia="仿宋" w:cs="仿宋"/>
          <w:sz w:val="32"/>
          <w:szCs w:val="32"/>
        </w:rPr>
        <w:t xml:space="preserve">    </w:t>
      </w:r>
      <w:r>
        <w:rPr>
          <w:rFonts w:hint="eastAsia" w:ascii="黑体" w:hAnsi="黑体" w:eastAsia="黑体" w:cs="黑体"/>
          <w:sz w:val="32"/>
          <w:szCs w:val="32"/>
        </w:rPr>
        <w:t>一、</w:t>
      </w:r>
      <w:r>
        <w:rPr>
          <w:rFonts w:hint="eastAsia" w:ascii="黑体" w:hAnsi="黑体" w:eastAsia="黑体" w:cs="黑体"/>
          <w:sz w:val="32"/>
          <w:szCs w:val="32"/>
          <w:lang w:eastAsia="zh-CN"/>
        </w:rPr>
        <w:t>部门</w:t>
      </w:r>
      <w:r>
        <w:rPr>
          <w:rFonts w:hint="eastAsia" w:ascii="黑体" w:hAnsi="黑体" w:eastAsia="黑体" w:cs="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（一）</w:t>
      </w:r>
      <w:r>
        <w:rPr>
          <w:rFonts w:hint="eastAsia" w:ascii="仿宋" w:hAnsi="仿宋" w:eastAsia="仿宋" w:cs="仿宋"/>
          <w:b/>
          <w:bCs/>
          <w:sz w:val="32"/>
          <w:szCs w:val="32"/>
          <w:lang w:eastAsia="zh-CN"/>
        </w:rPr>
        <w:t>部门</w:t>
      </w:r>
      <w:r>
        <w:rPr>
          <w:rFonts w:hint="eastAsia" w:ascii="仿宋" w:hAnsi="仿宋" w:eastAsia="仿宋" w:cs="仿宋"/>
          <w:b/>
          <w:bCs/>
          <w:sz w:val="32"/>
          <w:szCs w:val="32"/>
        </w:rPr>
        <w:t>概况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主要职责：</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一）贯彻执行党和国家文化、广播电视、网络视听节目服务管理和旅游工作方针政策和法律法规。研究拟订全市文化、广播电视和旅游政策措施，起草全市文化、广播电视、网络视听节目和旅游地方性法规、政府规章草案。</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（二）拟订全市文化事业、文化产业、广播电视领域和旅游业发展规划并组织实施，推进文化、广播电视和旅游融合发展，推进文化、广播电视和旅游体制机制改革。</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三）管理和组织全市性重大文化和旅游活动，组织实施全市广播电视公共服务重大公益工程和公益活动。监管全市重点文化和旅游设施建设，组织石家庄文化和旅游整体形象推广，促进文化产业和旅游业对外合作和国际市场推广；负责组织推进全域旅游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（四）指导、管理全市文艺事业。指导艺术创作生产，推动全市各门类艺术、各艺术品种发展。指导全市电视剧行业发展和电视剧创作生产。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（五）负责全市文化和旅游事业发展。推动全市文化、广播电视和旅游公共服务体系建设，深入实施文化惠民工程，统筹推进全市文化、广播电视和旅游服务标准化、均等化。</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六）推进全市文化、广播电视和旅游科技创新发展，推进文化和旅游行业信息化、标准化建设；负责对广播电视节目传输覆盖、监听、监看、监测的监管，会同有关部门做好对网络视听节目和公共视听载体播放的视听节目的监管工作，指导、监管全市广播电视广告播放。推进全市应急广播体系建设，监管协调调度全市广播电视安全播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（七）负责对全市各类广播电视机构进行业务指导和监管，会同有关部门对全市网络视听节目服务机构进行管理，推进广播电视与新媒体新技术新业态融合发展，推进广电网与电信网、互联网三网融合。</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（八）负责全市非物质文化遗产保护，推动非物质文化遗产的保护、传承、普及、弘扬和振兴。</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（九）统筹规划全市文化产业、广播电视产业和旅游产业。组织实施文化和旅游资源普查、挖掘、保护和开发利用工作，促进文化产业、广播电视产业和旅游产业发展。</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（十）指导全市文化、广播电视和旅游市场发展。对文化、广播电视和旅游市场经营进行行业监管，推进全市文化、广播电视和旅游行业信用体系建设，依法规范文化、广播电视和旅游市场。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（十一）负责文化、文物、新闻出版（版权）、广播电视、电影、旅游等市场综合执法；负责督查督办全市性、跨区域性大案要案，维护市场秩序。</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（十二）负责文化遗产的管理和保护，指导和管理文物、博物馆事业，组织指导文物的保护抢救、考古发掘和开发利用工作。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（十三）承担全市文化、广播电视和旅游行业安全综合协调和监督管理工作，负责全市文化、广播电视和旅游行业突发应急事件的处理工作。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（十四）指导、管理全市文化、广播电视和旅游对外及对港澳台交流、合作和宣传、推广工作，组织大型文化、广播电视和旅游对外及对港澳台交流活动。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（十五）完成市委、市政府交办的其他任务。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lang w:eastAsia="zh-CN"/>
        </w:rPr>
        <w:t>组织机构及人员情况：</w:t>
      </w:r>
    </w:p>
    <w:tbl>
      <w:tblPr>
        <w:tblStyle w:val="6"/>
        <w:tblW w:w="5350" w:type="pct"/>
        <w:tblInd w:w="-311" w:type="dxa"/>
        <w:tblLayout w:type="autofit"/>
        <w:tblCellMar>
          <w:top w:w="0" w:type="dxa"/>
          <w:left w:w="108" w:type="dxa"/>
          <w:bottom w:w="112" w:type="dxa"/>
          <w:right w:w="213" w:type="dxa"/>
        </w:tblCellMar>
      </w:tblPr>
      <w:tblGrid>
        <w:gridCol w:w="942"/>
        <w:gridCol w:w="2898"/>
        <w:gridCol w:w="2206"/>
        <w:gridCol w:w="2235"/>
        <w:gridCol w:w="1527"/>
      </w:tblGrid>
      <w:tr>
        <w:tblPrEx>
          <w:tblCellMar>
            <w:top w:w="0" w:type="dxa"/>
            <w:left w:w="108" w:type="dxa"/>
            <w:bottom w:w="112" w:type="dxa"/>
            <w:right w:w="213" w:type="dxa"/>
          </w:tblCellMar>
        </w:tblPrEx>
        <w:trPr>
          <w:trHeight w:val="821" w:hRule="atLeast"/>
        </w:trPr>
        <w:tc>
          <w:tcPr>
            <w:tcW w:w="480"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102"/>
              <w:jc w:val="center"/>
              <w:textAlignment w:val="auto"/>
              <w:rPr>
                <w:rFonts w:hint="eastAsia" w:ascii="仿宋" w:hAnsi="仿宋" w:eastAsia="仿宋" w:cs="仿宋"/>
                <w:sz w:val="24"/>
                <w:szCs w:val="24"/>
              </w:rPr>
            </w:pPr>
            <w:r>
              <w:rPr>
                <w:rFonts w:hint="eastAsia" w:ascii="仿宋" w:hAnsi="仿宋" w:eastAsia="仿宋" w:cs="仿宋"/>
                <w:sz w:val="24"/>
                <w:szCs w:val="24"/>
              </w:rPr>
              <w:t>序号</w:t>
            </w:r>
          </w:p>
        </w:tc>
        <w:tc>
          <w:tcPr>
            <w:tcW w:w="1477"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105"/>
              <w:jc w:val="center"/>
              <w:textAlignment w:val="auto"/>
              <w:rPr>
                <w:rFonts w:hint="eastAsia" w:ascii="仿宋" w:hAnsi="仿宋" w:eastAsia="仿宋" w:cs="仿宋"/>
                <w:sz w:val="24"/>
                <w:szCs w:val="24"/>
              </w:rPr>
            </w:pPr>
            <w:r>
              <w:rPr>
                <w:rFonts w:hint="eastAsia" w:ascii="仿宋" w:hAnsi="仿宋" w:eastAsia="仿宋" w:cs="仿宋"/>
                <w:sz w:val="24"/>
                <w:szCs w:val="24"/>
              </w:rPr>
              <w:t>单位名称</w:t>
            </w:r>
          </w:p>
        </w:tc>
        <w:tc>
          <w:tcPr>
            <w:tcW w:w="1124"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271"/>
              <w:jc w:val="center"/>
              <w:textAlignment w:val="auto"/>
              <w:rPr>
                <w:rFonts w:hint="eastAsia" w:ascii="仿宋" w:hAnsi="仿宋" w:eastAsia="仿宋" w:cs="仿宋"/>
                <w:sz w:val="24"/>
                <w:szCs w:val="24"/>
              </w:rPr>
            </w:pPr>
            <w:r>
              <w:rPr>
                <w:rFonts w:hint="eastAsia" w:ascii="仿宋" w:hAnsi="仿宋" w:eastAsia="仿宋" w:cs="仿宋"/>
                <w:sz w:val="24"/>
                <w:szCs w:val="24"/>
              </w:rPr>
              <w:t>单位基本性质</w:t>
            </w:r>
          </w:p>
        </w:tc>
        <w:tc>
          <w:tcPr>
            <w:tcW w:w="1139"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105"/>
              <w:jc w:val="center"/>
              <w:textAlignment w:val="auto"/>
              <w:rPr>
                <w:rFonts w:hint="eastAsia" w:ascii="仿宋" w:hAnsi="仿宋" w:eastAsia="仿宋" w:cs="仿宋"/>
                <w:sz w:val="24"/>
                <w:szCs w:val="24"/>
              </w:rPr>
            </w:pPr>
            <w:r>
              <w:rPr>
                <w:rFonts w:hint="eastAsia" w:ascii="仿宋" w:hAnsi="仿宋" w:eastAsia="仿宋" w:cs="仿宋"/>
                <w:sz w:val="24"/>
                <w:szCs w:val="24"/>
              </w:rPr>
              <w:t>经费形式</w:t>
            </w:r>
          </w:p>
        </w:tc>
        <w:tc>
          <w:tcPr>
            <w:tcW w:w="778"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105"/>
              <w:jc w:val="center"/>
              <w:textAlignment w:val="auto"/>
              <w:rPr>
                <w:rFonts w:hint="eastAsia" w:ascii="仿宋" w:hAnsi="仿宋" w:eastAsia="仿宋" w:cs="仿宋"/>
                <w:sz w:val="24"/>
                <w:szCs w:val="24"/>
                <w:lang w:eastAsia="zh-CN"/>
              </w:rPr>
            </w:pPr>
            <w:r>
              <w:rPr>
                <w:rFonts w:hint="eastAsia" w:ascii="仿宋" w:hAnsi="仿宋" w:eastAsia="仿宋" w:cs="仿宋"/>
                <w:sz w:val="24"/>
                <w:szCs w:val="24"/>
                <w:lang w:eastAsia="zh-CN"/>
              </w:rPr>
              <w:t>人员（含离退）数量</w:t>
            </w:r>
          </w:p>
        </w:tc>
      </w:tr>
      <w:tr>
        <w:tblPrEx>
          <w:tblCellMar>
            <w:top w:w="0" w:type="dxa"/>
            <w:left w:w="108" w:type="dxa"/>
            <w:bottom w:w="112" w:type="dxa"/>
            <w:right w:w="213" w:type="dxa"/>
          </w:tblCellMar>
        </w:tblPrEx>
        <w:trPr>
          <w:trHeight w:val="570"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1</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石家庄市文化广电和旅游局</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6"/>
              <w:jc w:val="center"/>
              <w:textAlignment w:val="auto"/>
              <w:rPr>
                <w:rFonts w:hint="eastAsia" w:ascii="仿宋" w:hAnsi="仿宋" w:eastAsia="仿宋" w:cs="仿宋"/>
                <w:sz w:val="21"/>
                <w:szCs w:val="21"/>
              </w:rPr>
            </w:pPr>
            <w:r>
              <w:rPr>
                <w:rFonts w:hint="eastAsia" w:ascii="仿宋" w:hAnsi="仿宋" w:eastAsia="仿宋" w:cs="仿宋"/>
                <w:sz w:val="21"/>
                <w:szCs w:val="21"/>
              </w:rPr>
              <w:t>行政单位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财政拨款</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209</w:t>
            </w:r>
          </w:p>
        </w:tc>
      </w:tr>
      <w:tr>
        <w:tblPrEx>
          <w:tblCellMar>
            <w:top w:w="0" w:type="dxa"/>
            <w:left w:w="108" w:type="dxa"/>
            <w:bottom w:w="112" w:type="dxa"/>
            <w:right w:w="213" w:type="dxa"/>
          </w:tblCellMar>
        </w:tblPrEx>
        <w:trPr>
          <w:trHeight w:val="584"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2</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石家庄市图书馆</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jc w:val="both"/>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110</w:t>
            </w:r>
          </w:p>
        </w:tc>
      </w:tr>
      <w:tr>
        <w:tblPrEx>
          <w:tblCellMar>
            <w:top w:w="0" w:type="dxa"/>
            <w:left w:w="108" w:type="dxa"/>
            <w:bottom w:w="112" w:type="dxa"/>
            <w:right w:w="213" w:type="dxa"/>
          </w:tblCellMar>
        </w:tblPrEx>
        <w:trPr>
          <w:trHeight w:val="557" w:hRule="atLeast"/>
        </w:trPr>
        <w:tc>
          <w:tcPr>
            <w:tcW w:w="480"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3</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石家庄市艺术中心</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jc w:val="both"/>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20</w:t>
            </w:r>
          </w:p>
        </w:tc>
      </w:tr>
      <w:tr>
        <w:tblPrEx>
          <w:tblCellMar>
            <w:top w:w="0" w:type="dxa"/>
            <w:left w:w="108" w:type="dxa"/>
            <w:bottom w:w="112" w:type="dxa"/>
            <w:right w:w="213" w:type="dxa"/>
          </w:tblCellMar>
        </w:tblPrEx>
        <w:trPr>
          <w:trHeight w:val="598"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4</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石家庄市美术馆</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jc w:val="both"/>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29</w:t>
            </w:r>
          </w:p>
        </w:tc>
      </w:tr>
      <w:tr>
        <w:tblPrEx>
          <w:tblCellMar>
            <w:top w:w="0" w:type="dxa"/>
            <w:left w:w="108" w:type="dxa"/>
            <w:bottom w:w="112" w:type="dxa"/>
            <w:right w:w="213" w:type="dxa"/>
          </w:tblCellMar>
        </w:tblPrEx>
        <w:trPr>
          <w:trHeight w:val="937"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5</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lang w:eastAsia="zh-CN"/>
              </w:rPr>
            </w:pPr>
            <w:r>
              <w:rPr>
                <w:rFonts w:hint="eastAsia" w:ascii="仿宋" w:hAnsi="仿宋" w:eastAsia="仿宋" w:cs="仿宋"/>
                <w:sz w:val="21"/>
                <w:szCs w:val="21"/>
              </w:rPr>
              <w:t>石家庄市文化市场</w:t>
            </w:r>
            <w:r>
              <w:rPr>
                <w:rFonts w:hint="eastAsia" w:ascii="仿宋" w:hAnsi="仿宋" w:eastAsia="仿宋" w:cs="仿宋"/>
                <w:sz w:val="21"/>
                <w:szCs w:val="21"/>
                <w:lang w:eastAsia="zh-CN"/>
              </w:rPr>
              <w:t>综合行政执法局</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参公事业单位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83</w:t>
            </w:r>
          </w:p>
        </w:tc>
      </w:tr>
      <w:tr>
        <w:tblPrEx>
          <w:tblCellMar>
            <w:top w:w="0" w:type="dxa"/>
            <w:left w:w="108" w:type="dxa"/>
            <w:bottom w:w="112" w:type="dxa"/>
            <w:right w:w="213" w:type="dxa"/>
          </w:tblCellMar>
        </w:tblPrEx>
        <w:trPr>
          <w:trHeight w:val="658"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6</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石家庄市群众艺术馆</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jc w:val="both"/>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124</w:t>
            </w:r>
          </w:p>
        </w:tc>
      </w:tr>
      <w:tr>
        <w:tblPrEx>
          <w:tblCellMar>
            <w:top w:w="0" w:type="dxa"/>
            <w:left w:w="108" w:type="dxa"/>
            <w:bottom w:w="112" w:type="dxa"/>
            <w:right w:w="213" w:type="dxa"/>
          </w:tblCellMar>
        </w:tblPrEx>
        <w:trPr>
          <w:trHeight w:val="565"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7</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石家庄市文物保护研究所</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18</w:t>
            </w:r>
          </w:p>
        </w:tc>
      </w:tr>
      <w:tr>
        <w:tblPrEx>
          <w:tblCellMar>
            <w:top w:w="0" w:type="dxa"/>
            <w:left w:w="108" w:type="dxa"/>
            <w:bottom w:w="112" w:type="dxa"/>
            <w:right w:w="213" w:type="dxa"/>
          </w:tblCellMar>
        </w:tblPrEx>
        <w:trPr>
          <w:trHeight w:val="557"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8</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石家庄市博物馆</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60</w:t>
            </w:r>
          </w:p>
        </w:tc>
      </w:tr>
      <w:tr>
        <w:tblPrEx>
          <w:tblCellMar>
            <w:top w:w="0" w:type="dxa"/>
            <w:left w:w="108" w:type="dxa"/>
            <w:bottom w:w="112" w:type="dxa"/>
            <w:right w:w="213" w:type="dxa"/>
          </w:tblCellMar>
        </w:tblPrEx>
        <w:trPr>
          <w:trHeight w:val="607"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9</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石家庄市毗卢寺博物院</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9</w:t>
            </w:r>
          </w:p>
        </w:tc>
      </w:tr>
      <w:tr>
        <w:tblPrEx>
          <w:tblCellMar>
            <w:top w:w="0" w:type="dxa"/>
            <w:left w:w="108" w:type="dxa"/>
            <w:bottom w:w="112" w:type="dxa"/>
            <w:right w:w="213" w:type="dxa"/>
          </w:tblCellMar>
        </w:tblPrEx>
        <w:trPr>
          <w:trHeight w:val="565"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10</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lang w:eastAsia="zh-CN"/>
              </w:rPr>
            </w:pPr>
            <w:r>
              <w:rPr>
                <w:rFonts w:hint="eastAsia" w:ascii="仿宋" w:hAnsi="仿宋" w:eastAsia="仿宋" w:cs="仿宋"/>
                <w:sz w:val="21"/>
                <w:szCs w:val="21"/>
                <w:lang w:eastAsia="zh-CN"/>
              </w:rPr>
              <w:t>石家庄市艺术学校</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leftChars="0"/>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202</w:t>
            </w:r>
          </w:p>
        </w:tc>
      </w:tr>
    </w:tbl>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cs="仿宋"/>
          <w:sz w:val="32"/>
          <w:szCs w:val="32"/>
          <w:lang w:eastAsia="zh-CN"/>
        </w:rPr>
        <w:t>市文广旅局人员不含市属院团及自收自支事业单位的人数。市本级预算中涵盖市属</w:t>
      </w:r>
      <w:r>
        <w:rPr>
          <w:rFonts w:hint="eastAsia" w:ascii="仿宋" w:hAnsi="仿宋" w:eastAsia="仿宋" w:cs="仿宋"/>
          <w:sz w:val="32"/>
          <w:szCs w:val="32"/>
          <w:lang w:val="en-US" w:eastAsia="zh-CN"/>
        </w:rPr>
        <w:t>6家院团以及自收自支事业单位部分预算。</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default" w:ascii="仿宋" w:hAnsi="仿宋" w:eastAsia="仿宋"/>
          <w:b/>
          <w:bCs/>
          <w:color w:val="auto"/>
          <w:sz w:val="32"/>
          <w:szCs w:val="32"/>
          <w:lang w:val="en-US" w:eastAsia="zh-CN"/>
        </w:rPr>
      </w:pPr>
      <w:r>
        <w:rPr>
          <w:rFonts w:hint="eastAsia" w:ascii="仿宋" w:hAnsi="仿宋" w:eastAsia="仿宋"/>
          <w:b/>
          <w:bCs/>
          <w:color w:val="auto"/>
          <w:sz w:val="32"/>
          <w:szCs w:val="32"/>
          <w:lang w:eastAsia="zh-CN"/>
        </w:rPr>
        <w:t>固定资产</w:t>
      </w:r>
      <w:r>
        <w:rPr>
          <w:rFonts w:hint="eastAsia" w:ascii="仿宋" w:hAnsi="仿宋" w:eastAsia="仿宋"/>
          <w:b/>
          <w:bCs/>
          <w:color w:val="auto"/>
          <w:sz w:val="32"/>
          <w:szCs w:val="32"/>
        </w:rPr>
        <w:t>情况</w:t>
      </w:r>
      <w:r>
        <w:rPr>
          <w:rFonts w:hint="eastAsia" w:ascii="仿宋" w:hAnsi="仿宋" w:eastAsia="仿宋"/>
          <w:b/>
          <w:bCs/>
          <w:color w:val="auto"/>
          <w:sz w:val="32"/>
          <w:szCs w:val="32"/>
          <w:lang w:eastAsia="zh-CN"/>
        </w:rPr>
        <w:t>。</w:t>
      </w:r>
      <w:r>
        <w:rPr>
          <w:rFonts w:hint="eastAsia" w:ascii="仿宋" w:hAnsi="仿宋" w:eastAsia="仿宋"/>
          <w:b w:val="0"/>
          <w:bCs w:val="0"/>
          <w:sz w:val="32"/>
          <w:szCs w:val="32"/>
          <w:lang w:eastAsia="zh-CN"/>
        </w:rPr>
        <w:t>截止</w:t>
      </w:r>
      <w:r>
        <w:rPr>
          <w:rFonts w:hint="eastAsia" w:ascii="仿宋" w:hAnsi="仿宋" w:eastAsia="仿宋"/>
          <w:b w:val="0"/>
          <w:bCs w:val="0"/>
          <w:sz w:val="32"/>
          <w:szCs w:val="32"/>
          <w:lang w:val="en-US" w:eastAsia="zh-CN"/>
        </w:rPr>
        <w:t>2021年12月31日，我部门（10家预算单位）固定资产原值34404.4万元，</w:t>
      </w:r>
      <w:r>
        <w:rPr>
          <w:rFonts w:hint="eastAsia" w:ascii="仿宋" w:hAnsi="仿宋" w:eastAsia="仿宋"/>
          <w:b w:val="0"/>
          <w:bCs w:val="0"/>
          <w:color w:val="auto"/>
          <w:sz w:val="32"/>
          <w:szCs w:val="32"/>
          <w:lang w:val="en-US" w:eastAsia="zh-CN"/>
        </w:rPr>
        <w:t>固定资产净值26504.41  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keepNext w:val="0"/>
        <w:keepLines w:val="0"/>
        <w:pageBreakBefore w:val="0"/>
        <w:kinsoku/>
        <w:wordWrap/>
        <w:overflowPunct/>
        <w:topLinePunct w:val="0"/>
        <w:autoSpaceDE/>
        <w:autoSpaceDN/>
        <w:bidi w:val="0"/>
        <w:snapToGrid w:val="0"/>
        <w:spacing w:line="560" w:lineRule="exact"/>
        <w:ind w:firstLine="420" w:firstLineChars="200"/>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color w:val="auto"/>
          <w:sz w:val="32"/>
          <w:szCs w:val="32"/>
        </w:rPr>
        <w:t>20</w:t>
      </w:r>
      <w:r>
        <w:rPr>
          <w:rFonts w:hint="eastAsia" w:ascii="仿宋" w:hAnsi="仿宋" w:eastAsia="仿宋" w:cs="仿宋"/>
          <w:color w:val="auto"/>
          <w:sz w:val="32"/>
          <w:szCs w:val="32"/>
          <w:lang w:val="en-US" w:eastAsia="zh-CN"/>
        </w:rPr>
        <w:t>21</w:t>
      </w:r>
      <w:r>
        <w:rPr>
          <w:rFonts w:hint="eastAsia" w:ascii="仿宋" w:hAnsi="仿宋" w:eastAsia="仿宋" w:cs="仿宋"/>
          <w:color w:val="auto"/>
          <w:sz w:val="32"/>
          <w:szCs w:val="32"/>
        </w:rPr>
        <w:t>年</w:t>
      </w:r>
      <w:r>
        <w:rPr>
          <w:rFonts w:hint="eastAsia" w:ascii="仿宋" w:hAnsi="仿宋" w:eastAsia="仿宋" w:cs="仿宋"/>
          <w:color w:val="auto"/>
          <w:sz w:val="32"/>
          <w:szCs w:val="32"/>
          <w:lang w:eastAsia="zh-CN"/>
        </w:rPr>
        <w:t>部门</w:t>
      </w:r>
      <w:r>
        <w:rPr>
          <w:rFonts w:hint="eastAsia" w:ascii="仿宋" w:hAnsi="仿宋" w:eastAsia="仿宋" w:cs="仿宋"/>
          <w:color w:val="auto"/>
          <w:sz w:val="32"/>
          <w:szCs w:val="32"/>
        </w:rPr>
        <w:t>财政拨款收入</w:t>
      </w:r>
      <w:r>
        <w:rPr>
          <w:rFonts w:hint="eastAsia" w:ascii="仿宋" w:hAnsi="仿宋" w:eastAsia="仿宋" w:cs="仿宋"/>
          <w:color w:val="auto"/>
          <w:sz w:val="32"/>
          <w:szCs w:val="32"/>
          <w:lang w:val="en-US" w:eastAsia="zh-CN"/>
        </w:rPr>
        <w:t>26500.62</w:t>
      </w:r>
      <w:r>
        <w:rPr>
          <w:rFonts w:hint="eastAsia" w:ascii="仿宋" w:hAnsi="仿宋" w:eastAsia="仿宋" w:cs="仿宋"/>
          <w:color w:val="auto"/>
          <w:sz w:val="32"/>
          <w:szCs w:val="32"/>
        </w:rPr>
        <w:t>万元，支出总额</w:t>
      </w:r>
      <w:r>
        <w:rPr>
          <w:rFonts w:hint="eastAsia" w:ascii="仿宋" w:hAnsi="仿宋" w:eastAsia="仿宋" w:cs="仿宋"/>
          <w:color w:val="auto"/>
          <w:sz w:val="32"/>
          <w:szCs w:val="32"/>
          <w:lang w:val="en-US" w:eastAsia="zh-CN"/>
        </w:rPr>
        <w:t>26516.79</w:t>
      </w:r>
      <w:r>
        <w:rPr>
          <w:rFonts w:hint="eastAsia" w:ascii="仿宋" w:hAnsi="仿宋" w:eastAsia="仿宋" w:cs="仿宋"/>
          <w:color w:val="auto"/>
          <w:sz w:val="32"/>
          <w:szCs w:val="32"/>
        </w:rPr>
        <w:t>万元，其中基本支出</w:t>
      </w:r>
      <w:r>
        <w:rPr>
          <w:rFonts w:hint="eastAsia" w:ascii="仿宋" w:hAnsi="仿宋" w:eastAsia="仿宋" w:cs="仿宋"/>
          <w:color w:val="auto"/>
          <w:sz w:val="32"/>
          <w:szCs w:val="32"/>
          <w:lang w:val="en-US" w:eastAsia="zh-CN"/>
        </w:rPr>
        <w:t>8912.03</w:t>
      </w:r>
      <w:r>
        <w:rPr>
          <w:rFonts w:hint="eastAsia" w:ascii="仿宋" w:hAnsi="仿宋" w:eastAsia="仿宋" w:cs="仿宋"/>
          <w:color w:val="auto"/>
          <w:sz w:val="32"/>
          <w:szCs w:val="32"/>
        </w:rPr>
        <w:t>万元，项目支出</w:t>
      </w:r>
      <w:r>
        <w:rPr>
          <w:rFonts w:hint="eastAsia" w:ascii="仿宋" w:hAnsi="仿宋" w:eastAsia="仿宋" w:cs="仿宋"/>
          <w:color w:val="auto"/>
          <w:sz w:val="32"/>
          <w:szCs w:val="32"/>
          <w:lang w:val="en-US" w:eastAsia="zh-CN"/>
        </w:rPr>
        <w:t>13117.08</w:t>
      </w:r>
      <w:r>
        <w:rPr>
          <w:rFonts w:hint="eastAsia" w:ascii="仿宋" w:hAnsi="仿宋" w:eastAsia="仿宋" w:cs="仿宋"/>
          <w:color w:val="auto"/>
          <w:sz w:val="32"/>
          <w:szCs w:val="32"/>
        </w:rPr>
        <w:t>万元。20</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年财政拨款收入</w:t>
      </w:r>
      <w:r>
        <w:rPr>
          <w:rFonts w:hint="eastAsia" w:ascii="仿宋" w:hAnsi="仿宋" w:eastAsia="仿宋" w:cs="仿宋"/>
          <w:color w:val="auto"/>
          <w:sz w:val="32"/>
          <w:szCs w:val="32"/>
          <w:lang w:val="en-US" w:eastAsia="zh-CN"/>
        </w:rPr>
        <w:t>24344.44</w:t>
      </w:r>
      <w:r>
        <w:rPr>
          <w:rFonts w:hint="eastAsia" w:ascii="仿宋" w:hAnsi="仿宋" w:eastAsia="仿宋" w:cs="仿宋"/>
          <w:color w:val="auto"/>
          <w:sz w:val="32"/>
          <w:szCs w:val="32"/>
        </w:rPr>
        <w:t>万元，支出总额</w:t>
      </w:r>
      <w:r>
        <w:rPr>
          <w:rFonts w:hint="eastAsia" w:ascii="仿宋" w:hAnsi="仿宋" w:eastAsia="仿宋" w:cs="仿宋"/>
          <w:color w:val="auto"/>
          <w:sz w:val="32"/>
          <w:szCs w:val="32"/>
          <w:lang w:val="en-US" w:eastAsia="zh-CN"/>
        </w:rPr>
        <w:t>24696.31万元</w:t>
      </w:r>
      <w:r>
        <w:rPr>
          <w:rFonts w:hint="eastAsia" w:ascii="仿宋" w:hAnsi="仿宋" w:eastAsia="仿宋" w:cs="仿宋"/>
          <w:color w:val="auto"/>
          <w:sz w:val="32"/>
          <w:szCs w:val="32"/>
        </w:rPr>
        <w:t>，其中基本支出</w:t>
      </w:r>
      <w:r>
        <w:rPr>
          <w:rFonts w:hint="eastAsia" w:ascii="仿宋" w:hAnsi="仿宋" w:eastAsia="仿宋" w:cs="仿宋"/>
          <w:color w:val="auto"/>
          <w:sz w:val="32"/>
          <w:szCs w:val="32"/>
          <w:lang w:val="en-US" w:eastAsia="zh-CN"/>
        </w:rPr>
        <w:t>9104.72</w:t>
      </w:r>
      <w:r>
        <w:rPr>
          <w:rFonts w:hint="eastAsia" w:ascii="仿宋" w:hAnsi="仿宋" w:eastAsia="仿宋" w:cs="仿宋"/>
          <w:color w:val="auto"/>
          <w:sz w:val="32"/>
          <w:szCs w:val="32"/>
        </w:rPr>
        <w:t>万元，项目支出</w:t>
      </w:r>
      <w:r>
        <w:rPr>
          <w:rFonts w:hint="eastAsia" w:ascii="仿宋" w:hAnsi="仿宋" w:eastAsia="仿宋" w:cs="仿宋"/>
          <w:color w:val="auto"/>
          <w:sz w:val="32"/>
          <w:szCs w:val="32"/>
          <w:lang w:val="en-US" w:eastAsia="zh-CN"/>
        </w:rPr>
        <w:t>15591.59</w:t>
      </w:r>
      <w:r>
        <w:rPr>
          <w:rFonts w:hint="eastAsia" w:ascii="仿宋" w:hAnsi="仿宋" w:eastAsia="仿宋" w:cs="仿宋"/>
          <w:color w:val="auto"/>
          <w:sz w:val="32"/>
          <w:szCs w:val="32"/>
        </w:rPr>
        <w:t>万元。上下年度收入相比</w:t>
      </w:r>
      <w:r>
        <w:rPr>
          <w:rFonts w:hint="eastAsia" w:ascii="仿宋" w:hAnsi="仿宋" w:eastAsia="仿宋" w:cs="仿宋"/>
          <w:color w:val="auto"/>
          <w:sz w:val="32"/>
          <w:szCs w:val="32"/>
          <w:lang w:eastAsia="zh-CN"/>
        </w:rPr>
        <w:t>增加</w:t>
      </w:r>
      <w:r>
        <w:rPr>
          <w:rFonts w:hint="eastAsia" w:ascii="仿宋" w:hAnsi="仿宋" w:eastAsia="仿宋" w:cs="仿宋"/>
          <w:color w:val="auto"/>
          <w:sz w:val="32"/>
          <w:szCs w:val="32"/>
          <w:lang w:val="en-US" w:eastAsia="zh-CN"/>
        </w:rPr>
        <w:t>2156.18</w:t>
      </w:r>
      <w:r>
        <w:rPr>
          <w:rFonts w:hint="eastAsia" w:ascii="仿宋" w:hAnsi="仿宋" w:eastAsia="仿宋" w:cs="仿宋"/>
          <w:color w:val="auto"/>
          <w:sz w:val="32"/>
          <w:szCs w:val="32"/>
        </w:rPr>
        <w:t>万元，支出</w:t>
      </w:r>
      <w:r>
        <w:rPr>
          <w:rFonts w:hint="eastAsia" w:ascii="仿宋" w:hAnsi="仿宋" w:eastAsia="仿宋" w:cs="仿宋"/>
          <w:color w:val="auto"/>
          <w:sz w:val="32"/>
          <w:szCs w:val="32"/>
          <w:lang w:eastAsia="zh-CN"/>
        </w:rPr>
        <w:t>增加</w:t>
      </w:r>
      <w:r>
        <w:rPr>
          <w:rFonts w:hint="eastAsia" w:ascii="仿宋" w:hAnsi="仿宋" w:eastAsia="仿宋" w:cs="仿宋"/>
          <w:color w:val="auto"/>
          <w:sz w:val="32"/>
          <w:szCs w:val="32"/>
          <w:lang w:val="en-US" w:eastAsia="zh-CN"/>
        </w:rPr>
        <w:t>1820.48</w:t>
      </w:r>
      <w:r>
        <w:rPr>
          <w:rFonts w:hint="eastAsia" w:ascii="仿宋" w:hAnsi="仿宋" w:eastAsia="仿宋" w:cs="仿宋"/>
          <w:color w:val="auto"/>
          <w:sz w:val="32"/>
          <w:szCs w:val="32"/>
        </w:rPr>
        <w:t>万元，其中基本支出</w:t>
      </w:r>
      <w:r>
        <w:rPr>
          <w:rFonts w:hint="eastAsia" w:ascii="仿宋" w:hAnsi="仿宋" w:eastAsia="仿宋" w:cs="仿宋"/>
          <w:color w:val="auto"/>
          <w:sz w:val="32"/>
          <w:szCs w:val="32"/>
          <w:lang w:eastAsia="zh-CN"/>
        </w:rPr>
        <w:t>减少</w:t>
      </w:r>
      <w:r>
        <w:rPr>
          <w:rFonts w:hint="eastAsia" w:ascii="仿宋" w:hAnsi="仿宋" w:eastAsia="仿宋" w:cs="仿宋"/>
          <w:color w:val="auto"/>
          <w:sz w:val="32"/>
          <w:szCs w:val="32"/>
          <w:lang w:val="en-US" w:eastAsia="zh-CN"/>
        </w:rPr>
        <w:t>192.69</w:t>
      </w:r>
      <w:r>
        <w:rPr>
          <w:rFonts w:hint="eastAsia" w:ascii="仿宋" w:hAnsi="仿宋" w:eastAsia="仿宋" w:cs="仿宋"/>
          <w:color w:val="auto"/>
          <w:sz w:val="32"/>
          <w:szCs w:val="32"/>
        </w:rPr>
        <w:t>万元，项目支出</w:t>
      </w:r>
      <w:r>
        <w:rPr>
          <w:rFonts w:hint="eastAsia" w:ascii="仿宋" w:hAnsi="仿宋" w:eastAsia="仿宋" w:cs="仿宋"/>
          <w:color w:val="auto"/>
          <w:sz w:val="32"/>
          <w:szCs w:val="32"/>
          <w:lang w:eastAsia="zh-CN"/>
        </w:rPr>
        <w:t>减少</w:t>
      </w:r>
      <w:r>
        <w:rPr>
          <w:rFonts w:hint="eastAsia" w:ascii="仿宋" w:hAnsi="仿宋" w:eastAsia="仿宋" w:cs="仿宋"/>
          <w:color w:val="auto"/>
          <w:sz w:val="32"/>
          <w:szCs w:val="32"/>
          <w:lang w:val="en-US" w:eastAsia="zh-CN"/>
        </w:rPr>
        <w:t>2474.51</w:t>
      </w:r>
      <w:r>
        <w:rPr>
          <w:rFonts w:hint="eastAsia" w:ascii="仿宋" w:hAnsi="仿宋" w:eastAsia="仿宋" w:cs="仿宋"/>
          <w:color w:val="auto"/>
          <w:sz w:val="32"/>
          <w:szCs w:val="32"/>
        </w:rPr>
        <w:t>万元</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eastAsia="zh-CN"/>
        </w:rPr>
        <w:t>主要原因</w:t>
      </w:r>
      <w:r>
        <w:rPr>
          <w:rFonts w:hint="eastAsia" w:ascii="仿宋" w:hAnsi="仿宋" w:eastAsia="仿宋" w:cs="仿宋"/>
          <w:color w:val="auto"/>
          <w:sz w:val="32"/>
          <w:szCs w:val="32"/>
        </w:rPr>
        <w:t>是</w:t>
      </w:r>
      <w:r>
        <w:rPr>
          <w:rFonts w:hint="eastAsia" w:ascii="仿宋" w:hAnsi="仿宋" w:eastAsia="仿宋" w:cs="仿宋"/>
          <w:color w:val="auto"/>
          <w:sz w:val="32"/>
          <w:szCs w:val="32"/>
          <w:lang w:eastAsia="zh-CN"/>
        </w:rPr>
        <w:t>基本支出预算单位、自收自支事业离退休人员的财政负担部分资金未发放。项目支出减少原因为市属院团的事业费（三奖）未发放以及受疫情影响，部分项目未完全支出。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总体绩效目标</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组织举办好第八届、第九届市旅发大会，努力打造精品项目，扩大影响力，带动经济发展；提升文旅公共服务功能，加强公共基础设施建设，推进公共文化领域重点改革任务，组织开展文化惠民活动；加强文艺精品创作与生产，组织优秀剧目展演，继续打造演艺品牌，发行文化旅游惠民卡，拉动文化旅游消费；做好文化遗产保护利用和传承。组织开展非遗活动，提升文化传承影响力;大力发展职业艺术教育，增强职业艺术教育发展活力。</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分项绩效目标</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举办石家庄市第八届和第九届旅游产业发展大会</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绩效目标：推动当地旅游产业发展，促进旅游公共设施建设，培植和建设旅游新业态项目。</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建设旅游业态及公共服务项目数量不低于4个；通过举办旅发大会力争使举办地的旅游接待和收入增量不低于50%；为创建省级全域旅游示范市打基础；完善环省会旅游带建设；推动晋州市和藁城区、赵县旅游业发展。</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促进我市舞台艺术繁荣发展和文化惠民送戏下乡到基层</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 xml:space="preserve">绩效目标：大力推动舞台精品艺术创作，开展文化惠民活动。“走基层、送戏下乡”演出，提升“文化惠民”的知名度和影响力，打造我市公益演出的文化品牌。 </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全年计划完成创排剧目1-2部，完成复排剧目6-8部；“一月一名剧”文化惠民演出12场；六个院团进社区、进农村演出不少于800场。一月一名剧每场演出上座率预计达到80%以上。丰富省会人民的文化生活。</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促进非物质文化遗产传承发展</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绩效目标：支持非物质文化遗产保护和传承，着力保护非物质文化遗产传承实践、传承能力和传承环境，使非遗项目得到有效保护，非遗代表性传承人结构更加合理。</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参加“文化和自然遗产日”等非遗宣传展示活动的人数持续增加。对市级非遗代表性项目进行补助，使项目存续状况得到进一步改善。给予180位市级非遗传承人补助资金，鼓励传承人发挥自我所长开展传承传播活动。</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完善公共服务体系建设</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绩效目标：组织公共文化服务活动、县级文化馆图书馆数字化水平和总分馆制建设提高，开展国家公共文化领域重点改革攻坚行动，保障公共文化服务体系建设。</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公共文化服务设施设置率即市县乡村公共文化服务设施数量占市县乡村数量的覆盖率85%，年度公共文化服务设施免费开放时间达标率即免费开放时间占规定时间比率90%，创建满足文化部评估定级三级馆级以上必备条件的文化馆，提高人民群众文化生活品质，保障公共文化服务体系建设。</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发展职业艺术教育</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绩效目标：突出择优扶强、扶持，启动重点建设精品和特色中职艺术教学项目。落实中等职业艺术学校免学费、助学金政策和生均公用经费标准。</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绩效指标：实现舞台演出的精品教学项目占精品教学项目的比率≥90%以上，原创艺术教学项目的个数≥4个，校舍面积占在校生数的比例≥15%，家庭经济困难学生助学金覆盖率≥98%。</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楷体" w:hAnsi="楷体" w:eastAsia="楷体" w:cs="楷体"/>
          <w:b/>
          <w:bCs/>
          <w:sz w:val="32"/>
          <w:szCs w:val="32"/>
        </w:rPr>
        <w:t>（一）自评的组织工作</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cs="仿宋"/>
          <w:color w:val="auto"/>
          <w:sz w:val="32"/>
          <w:szCs w:val="32"/>
          <w:lang w:eastAsia="zh-CN"/>
        </w:rPr>
      </w:pPr>
      <w:r>
        <w:rPr>
          <w:rFonts w:hint="eastAsia" w:ascii="仿宋" w:hAnsi="仿宋" w:eastAsia="仿宋" w:cs="仿宋"/>
          <w:sz w:val="32"/>
          <w:szCs w:val="32"/>
          <w:lang w:eastAsia="zh-CN"/>
        </w:rPr>
        <w:t>根据石财监【</w:t>
      </w:r>
      <w:r>
        <w:rPr>
          <w:rFonts w:hint="eastAsia" w:ascii="仿宋" w:hAnsi="仿宋" w:eastAsia="仿宋" w:cs="仿宋"/>
          <w:sz w:val="32"/>
          <w:szCs w:val="32"/>
          <w:lang w:val="en-US" w:eastAsia="zh-CN"/>
        </w:rPr>
        <w:t>2022</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1号文通知要求，我部门下发了《关于开展2022年绩效自评工作的通知》，成立了以党政一把手为组长，各科室分管局长为副组长，各科室负责人为成员的预算绩效管理工作领导小组。市直预算单位</w:t>
      </w:r>
      <w:r>
        <w:rPr>
          <w:rFonts w:hint="eastAsia" w:ascii="仿宋" w:hAnsi="仿宋" w:eastAsia="仿宋" w:cs="仿宋"/>
          <w:kern w:val="2"/>
          <w:sz w:val="32"/>
          <w:szCs w:val="32"/>
          <w:lang w:val="en-US" w:eastAsia="zh-CN" w:bidi="ar-SA"/>
        </w:rPr>
        <w:t>也要相应成立领导小组及办公室，制定工作实施方</w:t>
      </w:r>
      <w:r>
        <w:rPr>
          <w:rFonts w:hint="eastAsia" w:ascii="仿宋" w:hAnsi="仿宋" w:eastAsia="仿宋" w:cs="仿宋"/>
          <w:color w:val="auto"/>
          <w:sz w:val="32"/>
          <w:szCs w:val="32"/>
          <w:lang w:val="en-US" w:eastAsia="zh-CN"/>
        </w:rPr>
        <w:t>案。</w:t>
      </w:r>
    </w:p>
    <w:p>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9"/>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（二）自评的方法和过程</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照资金“谁分配、谁使用、谁负责”原则，切实加强资金使用单位及科室的主体责任，绩效自评要以年初预算确定的项目绩效目标和绩效指标为依据，逐项进行对比分析，由局财务牵头，各资金单位和科室开展绩效自评工作。</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三、部门整体支出绩效目标实现情况及指标分析</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（一）总体绩效目标实现情况</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2021年，我部门</w:t>
      </w:r>
      <w:r>
        <w:rPr>
          <w:rStyle w:val="8"/>
          <w:rFonts w:hint="eastAsia" w:ascii="仿宋" w:hAnsi="仿宋" w:eastAsia="仿宋" w:cs="仿宋"/>
          <w:b w:val="0"/>
          <w:bCs w:val="0"/>
          <w:color w:val="auto"/>
          <w:kern w:val="0"/>
          <w:sz w:val="32"/>
          <w:szCs w:val="32"/>
          <w:lang w:val="en-US" w:eastAsia="zh-CN"/>
        </w:rPr>
        <w:t>统筹打好疫情防控战，推进文旅业复工复产，</w:t>
      </w:r>
      <w:r>
        <w:rPr>
          <w:rFonts w:hint="eastAsia" w:ascii="仿宋" w:hAnsi="仿宋" w:eastAsia="仿宋" w:cs="仿宋"/>
          <w:sz w:val="32"/>
          <w:szCs w:val="32"/>
        </w:rPr>
        <w:t>提升文旅公共服务功能，加强公共基础设施建设，推进公共文化领域重点改革任务，</w:t>
      </w:r>
      <w:r>
        <w:rPr>
          <w:rStyle w:val="8"/>
          <w:rFonts w:hint="eastAsia" w:ascii="仿宋" w:hAnsi="仿宋" w:eastAsia="仿宋" w:cs="仿宋"/>
          <w:b w:val="0"/>
          <w:bCs w:val="0"/>
          <w:color w:val="auto"/>
          <w:kern w:val="0"/>
          <w:sz w:val="32"/>
          <w:szCs w:val="32"/>
          <w:lang w:val="en-US" w:eastAsia="zh-CN"/>
        </w:rPr>
        <w:t>实施文化惠民工程，丰富群众精神文化生活。为丰富群众精神文化生活，采取线上线下相结合的方式，各文艺院团和场馆不断推出文艺作品供给</w:t>
      </w:r>
      <w:r>
        <w:rPr>
          <w:rFonts w:hint="eastAsia" w:ascii="仿宋" w:hAnsi="仿宋" w:eastAsia="仿宋" w:cs="仿宋"/>
          <w:sz w:val="32"/>
          <w:szCs w:val="32"/>
        </w:rPr>
        <w:t>；加强文艺精品创作与生产，</w:t>
      </w:r>
      <w:r>
        <w:rPr>
          <w:rStyle w:val="8"/>
          <w:rFonts w:hint="eastAsia" w:ascii="仿宋" w:hAnsi="仿宋" w:eastAsia="仿宋" w:cs="仿宋"/>
          <w:b w:val="0"/>
          <w:bCs w:val="0"/>
          <w:color w:val="auto"/>
          <w:kern w:val="0"/>
          <w:sz w:val="32"/>
          <w:szCs w:val="32"/>
          <w:lang w:val="en-US" w:eastAsia="zh-CN"/>
        </w:rPr>
        <w:t>为建党一百周年献礼。创排了现代京剧《挂云山》、《团结就是力量》歌舞剧。创排了“光辉的旗帜——石家庄市庆祝中国共产党建党100周年文艺晚会”，于6月29日在石家庄大剧院演出。</w:t>
      </w:r>
      <w:r>
        <w:rPr>
          <w:rFonts w:hint="eastAsia" w:ascii="仿宋" w:hAnsi="仿宋" w:eastAsia="仿宋" w:cs="仿宋"/>
          <w:sz w:val="32"/>
          <w:szCs w:val="32"/>
        </w:rPr>
        <w:t>组织优秀剧目展演，继续打造演艺品牌，发行文化旅游惠民卡，拉动文化旅游消费；</w:t>
      </w:r>
      <w:r>
        <w:rPr>
          <w:rFonts w:hint="eastAsia" w:ascii="仿宋" w:hAnsi="仿宋" w:eastAsia="仿宋" w:cs="仿宋"/>
          <w:sz w:val="32"/>
          <w:szCs w:val="32"/>
          <w:lang w:val="en-US" w:eastAsia="zh-CN"/>
        </w:rPr>
        <w:t>加大文化遗产保护与传承力度</w:t>
      </w:r>
      <w:r>
        <w:rPr>
          <w:rFonts w:hint="eastAsia" w:ascii="仿宋" w:hAnsi="仿宋" w:eastAsia="仿宋" w:cs="仿宋"/>
          <w:sz w:val="32"/>
          <w:szCs w:val="32"/>
          <w:lang w:eastAsia="zh-CN"/>
        </w:rPr>
        <w:t>，</w:t>
      </w:r>
      <w:r>
        <w:rPr>
          <w:rFonts w:hint="eastAsia" w:ascii="仿宋" w:hAnsi="仿宋" w:eastAsia="仿宋" w:cs="仿宋"/>
          <w:sz w:val="32"/>
          <w:szCs w:val="32"/>
        </w:rPr>
        <w:t>组织开展</w:t>
      </w:r>
      <w:r>
        <w:rPr>
          <w:rFonts w:hint="eastAsia" w:ascii="仿宋" w:hAnsi="仿宋" w:eastAsia="仿宋" w:cs="仿宋"/>
          <w:sz w:val="32"/>
          <w:szCs w:val="32"/>
          <w:lang w:eastAsia="zh-CN"/>
        </w:rPr>
        <w:t>各项</w:t>
      </w:r>
      <w:r>
        <w:rPr>
          <w:rFonts w:hint="eastAsia" w:ascii="仿宋" w:hAnsi="仿宋" w:eastAsia="仿宋" w:cs="仿宋"/>
          <w:sz w:val="32"/>
          <w:szCs w:val="32"/>
        </w:rPr>
        <w:t>非遗活动，</w:t>
      </w:r>
      <w:r>
        <w:rPr>
          <w:rFonts w:hint="eastAsia" w:ascii="仿宋" w:hAnsi="仿宋" w:eastAsia="仿宋" w:cs="仿宋"/>
          <w:color w:val="auto"/>
          <w:sz w:val="32"/>
          <w:szCs w:val="32"/>
          <w:lang w:eastAsia="zh-CN"/>
        </w:rPr>
        <w:t>成功</w:t>
      </w:r>
      <w:r>
        <w:rPr>
          <w:rFonts w:hint="eastAsia" w:ascii="仿宋" w:hAnsi="仿宋" w:eastAsia="仿宋" w:cs="仿宋"/>
          <w:color w:val="auto"/>
          <w:sz w:val="32"/>
          <w:szCs w:val="32"/>
        </w:rPr>
        <w:t>举办2021年石家庄“文化和自然遗产日”暨庆祝建党100周年非遗主场</w:t>
      </w:r>
      <w:r>
        <w:rPr>
          <w:rFonts w:hint="eastAsia" w:ascii="仿宋" w:hAnsi="仿宋" w:eastAsia="仿宋" w:cs="仿宋"/>
          <w:color w:val="auto"/>
          <w:sz w:val="32"/>
          <w:szCs w:val="32"/>
          <w:lang w:eastAsia="zh-CN"/>
        </w:rPr>
        <w:t>等系列</w:t>
      </w:r>
      <w:r>
        <w:rPr>
          <w:rFonts w:hint="eastAsia" w:ascii="仿宋" w:hAnsi="仿宋" w:eastAsia="仿宋" w:cs="仿宋"/>
          <w:color w:val="auto"/>
          <w:sz w:val="32"/>
          <w:szCs w:val="32"/>
        </w:rPr>
        <w:t>活动</w:t>
      </w:r>
      <w:r>
        <w:rPr>
          <w:rFonts w:hint="eastAsia" w:ascii="仿宋" w:hAnsi="仿宋" w:eastAsia="仿宋" w:cs="仿宋"/>
          <w:color w:val="auto"/>
          <w:sz w:val="32"/>
          <w:szCs w:val="32"/>
          <w:lang w:eastAsia="zh-CN"/>
        </w:rPr>
        <w:t>，</w:t>
      </w:r>
      <w:r>
        <w:rPr>
          <w:rFonts w:hint="eastAsia" w:ascii="仿宋" w:hAnsi="仿宋" w:eastAsia="仿宋" w:cs="仿宋"/>
          <w:sz w:val="32"/>
          <w:szCs w:val="32"/>
        </w:rPr>
        <w:t>提升文化传承影响力;大力发展职业艺术教育，增强职业艺术教育发展活力。</w:t>
      </w:r>
      <w:r>
        <w:rPr>
          <w:rFonts w:hint="eastAsia" w:ascii="仿宋" w:hAnsi="仿宋" w:eastAsia="仿宋" w:cs="仿宋"/>
          <w:sz w:val="32"/>
          <w:szCs w:val="32"/>
          <w:lang w:val="en-US" w:eastAsia="zh-CN"/>
        </w:rPr>
        <w:t>2021年度因疫情防控原因，市第八届旅游产业发展大会暂缓举办。</w:t>
      </w:r>
    </w:p>
    <w:p>
      <w:pPr>
        <w:keepNext w:val="0"/>
        <w:keepLines w:val="0"/>
        <w:pageBreakBefore w:val="0"/>
        <w:widowControl w:val="0"/>
        <w:numPr>
          <w:ilvl w:val="0"/>
          <w:numId w:val="0"/>
        </w:numPr>
        <w:kinsoku/>
        <w:wordWrap/>
        <w:overflowPunct/>
        <w:topLinePunct w:val="0"/>
        <w:autoSpaceDE/>
        <w:autoSpaceDN/>
        <w:bidi w:val="0"/>
        <w:spacing w:line="560" w:lineRule="exact"/>
        <w:ind w:leftChars="200" w:right="0" w:rightChars="0" w:firstLine="321" w:firstLineChars="1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（二）分项绩效目标实现情况及指标分析</w:t>
      </w:r>
    </w:p>
    <w:p>
      <w:pPr>
        <w:pStyle w:val="9"/>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楷体" w:hAnsi="楷体" w:eastAsia="楷体" w:cs="楷体"/>
          <w:sz w:val="32"/>
          <w:szCs w:val="32"/>
          <w:lang w:val="en-US" w:eastAsia="zh-CN"/>
        </w:rPr>
        <w:t xml:space="preserve">  一是</w:t>
      </w:r>
      <w:r>
        <w:rPr>
          <w:rFonts w:hint="eastAsia" w:ascii="楷体" w:hAnsi="楷体" w:eastAsia="楷体" w:cs="楷体"/>
          <w:sz w:val="32"/>
          <w:szCs w:val="32"/>
        </w:rPr>
        <w:t>举办石家庄市第八届和第九届旅游产业发展大会</w:t>
      </w:r>
      <w:r>
        <w:rPr>
          <w:rFonts w:hint="eastAsia" w:ascii="楷体" w:hAnsi="楷体" w:eastAsia="楷体" w:cs="楷体"/>
          <w:sz w:val="32"/>
          <w:szCs w:val="32"/>
          <w:lang w:eastAsia="zh-CN"/>
        </w:rPr>
        <w:t>。</w:t>
      </w:r>
      <w:r>
        <w:rPr>
          <w:rFonts w:hint="eastAsia" w:ascii="仿宋" w:hAnsi="仿宋" w:eastAsia="仿宋" w:cs="仿宋"/>
          <w:sz w:val="32"/>
          <w:szCs w:val="32"/>
          <w:lang w:val="en-US" w:eastAsia="zh-CN"/>
        </w:rPr>
        <w:t>2021年度因疫情防控原因，市第八届旅游产业发展大会暂缓举办，相关筹备工作进展如下。</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以“</w:t>
      </w:r>
      <w:r>
        <w:rPr>
          <w:rFonts w:hint="eastAsia" w:ascii="仿宋" w:hAnsi="仿宋" w:eastAsia="仿宋" w:cs="仿宋"/>
          <w:sz w:val="32"/>
          <w:szCs w:val="32"/>
        </w:rPr>
        <w:t>深化文旅融合</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打造活力晋州</w:t>
      </w:r>
      <w:r>
        <w:rPr>
          <w:rFonts w:hint="eastAsia" w:ascii="仿宋" w:hAnsi="仿宋" w:eastAsia="仿宋" w:cs="仿宋"/>
          <w:sz w:val="32"/>
          <w:szCs w:val="32"/>
          <w:lang w:val="en-US" w:eastAsia="zh-CN"/>
        </w:rPr>
        <w:t>”为主题</w:t>
      </w:r>
      <w:r>
        <w:rPr>
          <w:rFonts w:hint="eastAsia" w:ascii="仿宋" w:hAnsi="仿宋" w:eastAsia="仿宋" w:cs="仿宋"/>
          <w:sz w:val="32"/>
          <w:szCs w:val="32"/>
        </w:rPr>
        <w:t>，</w:t>
      </w:r>
      <w:r>
        <w:rPr>
          <w:rFonts w:hint="eastAsia" w:ascii="仿宋" w:hAnsi="仿宋" w:eastAsia="仿宋" w:cs="仿宋"/>
          <w:sz w:val="32"/>
          <w:szCs w:val="32"/>
          <w:lang w:eastAsia="zh-CN"/>
        </w:rPr>
        <w:t>编制完成</w:t>
      </w:r>
      <w:r>
        <w:rPr>
          <w:rFonts w:hint="eastAsia" w:ascii="仿宋" w:hAnsi="仿宋" w:eastAsia="仿宋" w:cs="仿宋"/>
          <w:sz w:val="32"/>
          <w:szCs w:val="32"/>
          <w:lang w:val="en-US" w:eastAsia="zh-CN"/>
        </w:rPr>
        <w:t>了</w:t>
      </w:r>
      <w:r>
        <w:rPr>
          <w:rFonts w:hint="eastAsia" w:ascii="仿宋" w:hAnsi="仿宋" w:eastAsia="仿宋" w:cs="仿宋"/>
          <w:sz w:val="32"/>
          <w:szCs w:val="32"/>
          <w:lang w:eastAsia="zh-CN"/>
        </w:rPr>
        <w:t>旅发大会专项规划，</w:t>
      </w:r>
      <w:r>
        <w:rPr>
          <w:rFonts w:hint="eastAsia" w:ascii="仿宋" w:hAnsi="仿宋" w:eastAsia="仿宋" w:cs="仿宋"/>
          <w:sz w:val="32"/>
          <w:szCs w:val="32"/>
          <w:lang w:val="en-US" w:eastAsia="zh-CN"/>
        </w:rPr>
        <w:t>制定了《第八届石家庄市旅游产业发展大会总体方案》，</w:t>
      </w:r>
      <w:r>
        <w:rPr>
          <w:rFonts w:hint="eastAsia" w:ascii="仿宋" w:hAnsi="仿宋" w:eastAsia="仿宋" w:cs="仿宋"/>
          <w:sz w:val="32"/>
          <w:szCs w:val="32"/>
          <w:lang w:eastAsia="zh-CN"/>
        </w:rPr>
        <w:t>完成了</w:t>
      </w:r>
      <w:r>
        <w:rPr>
          <w:rFonts w:hint="eastAsia" w:ascii="仿宋" w:hAnsi="仿宋" w:eastAsia="仿宋" w:cs="仿宋"/>
          <w:sz w:val="32"/>
          <w:szCs w:val="32"/>
          <w:lang w:val="en-US" w:eastAsia="zh-CN"/>
        </w:rPr>
        <w:t>旅发大会宣传口号、logo、形象标识征集、评选工作。积极谋划建成周家庄公社文化旅游项目、滹沱河滨水休闲度假区项目、魏征文化园项目、双鸽食品健康生活体验园项目、人民自卫军爱国教育基地项目、鸭梨博物馆及观光园项目等6大主题旅发大会重点观摩项目。</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sz w:val="32"/>
          <w:szCs w:val="32"/>
        </w:rPr>
      </w:pPr>
      <w:r>
        <w:rPr>
          <w:rFonts w:hint="eastAsia" w:ascii="仿宋_GB2312" w:hAnsi="仿宋_GB2312" w:eastAsia="仿宋_GB2312" w:cs="仿宋_GB2312"/>
          <w:sz w:val="32"/>
          <w:szCs w:val="32"/>
          <w:lang w:val="en-US" w:eastAsia="zh-CN"/>
        </w:rPr>
        <w:t xml:space="preserve"> </w:t>
      </w:r>
      <w:r>
        <w:rPr>
          <w:rFonts w:hint="eastAsia" w:ascii="楷体" w:hAnsi="楷体" w:eastAsia="楷体" w:cs="楷体"/>
          <w:sz w:val="32"/>
          <w:szCs w:val="32"/>
          <w:lang w:val="en-US" w:eastAsia="zh-CN"/>
        </w:rPr>
        <w:t>二是</w:t>
      </w:r>
      <w:r>
        <w:rPr>
          <w:rFonts w:hint="eastAsia" w:ascii="楷体" w:hAnsi="楷体" w:eastAsia="楷体" w:cs="楷体"/>
          <w:sz w:val="32"/>
          <w:szCs w:val="32"/>
        </w:rPr>
        <w:t>促进我市舞台艺术繁荣发展和文化惠民送戏下乡到基层</w:t>
      </w:r>
      <w:r>
        <w:rPr>
          <w:rFonts w:hint="eastAsia" w:ascii="楷体" w:hAnsi="楷体" w:eastAsia="楷体" w:cs="楷体"/>
          <w:sz w:val="32"/>
          <w:szCs w:val="32"/>
          <w:lang w:eastAsia="zh-CN"/>
        </w:rPr>
        <w:t>。</w:t>
      </w:r>
      <w:r>
        <w:rPr>
          <w:rStyle w:val="8"/>
          <w:rFonts w:hint="eastAsia" w:ascii="仿宋" w:hAnsi="仿宋" w:eastAsia="仿宋" w:cs="仿宋"/>
          <w:b w:val="0"/>
          <w:bCs w:val="0"/>
          <w:color w:val="auto"/>
          <w:kern w:val="0"/>
          <w:sz w:val="32"/>
          <w:szCs w:val="32"/>
          <w:lang w:val="en-US" w:eastAsia="zh-CN"/>
        </w:rPr>
        <w:t>实施文化惠民工程，丰富群众精神文化生活。为丰富群众精神文化生活，采取线上线下相结合的方式，各文艺院团和场馆不断推出文艺作品供给。市演艺有限公司利用网络资源和“云”平台，推出《宅在家里看大戏》《艺术赏析》《“云剧场”点播》等栏目共计110多期，超过2万人次浏览量。市美术馆利用微信公众号平台，推出了“众志成城共克时艰”防控疫情主题作品展等精品展览20多期，浏览量超过1.5万人次。博物馆开展线上展出服务，设计制作了馆藏精品文物PPT。市群艺馆举办“丹青书盛世 翰墨颂党恩”石家庄市庆祝建党100周年美术、书法作品展。市图书馆打造线上微讲堂活动，创办红色阅读平台，共享红色文献资源。启动“读书传递力量·红色经典诵读”活动。“一月一名剧”文化品牌持续发力，邀请名家名团走进石家庄，上演了《凤还巢》</w:t>
      </w:r>
      <w:r>
        <w:rPr>
          <w:rFonts w:hint="eastAsia" w:ascii="仿宋" w:hAnsi="仿宋" w:eastAsia="仿宋"/>
          <w:sz w:val="32"/>
          <w:szCs w:val="32"/>
        </w:rPr>
        <w:t>、</w:t>
      </w:r>
      <w:r>
        <w:rPr>
          <w:rStyle w:val="8"/>
          <w:rFonts w:hint="eastAsia" w:ascii="仿宋" w:hAnsi="仿宋" w:eastAsia="仿宋" w:cs="仿宋"/>
          <w:b w:val="0"/>
          <w:bCs w:val="0"/>
          <w:color w:val="auto"/>
          <w:kern w:val="0"/>
          <w:sz w:val="32"/>
          <w:szCs w:val="32"/>
          <w:lang w:val="en-US" w:eastAsia="zh-CN"/>
        </w:rPr>
        <w:t>《奇袭白虎团》</w:t>
      </w:r>
      <w:r>
        <w:rPr>
          <w:rFonts w:hint="eastAsia" w:ascii="仿宋" w:hAnsi="仿宋" w:eastAsia="仿宋"/>
          <w:sz w:val="32"/>
          <w:szCs w:val="32"/>
        </w:rPr>
        <w:t>、</w:t>
      </w:r>
      <w:r>
        <w:rPr>
          <w:rStyle w:val="8"/>
          <w:rFonts w:hint="eastAsia" w:ascii="仿宋" w:hAnsi="仿宋" w:eastAsia="仿宋" w:cs="仿宋"/>
          <w:b w:val="0"/>
          <w:bCs w:val="0"/>
          <w:color w:val="auto"/>
          <w:kern w:val="0"/>
          <w:sz w:val="32"/>
          <w:szCs w:val="32"/>
          <w:lang w:val="en-US" w:eastAsia="zh-CN"/>
        </w:rPr>
        <w:t>《四郎探母》</w:t>
      </w:r>
      <w:r>
        <w:rPr>
          <w:rFonts w:hint="eastAsia" w:ascii="仿宋" w:hAnsi="仿宋" w:eastAsia="仿宋"/>
          <w:sz w:val="32"/>
          <w:szCs w:val="32"/>
        </w:rPr>
        <w:t>、</w:t>
      </w:r>
      <w:r>
        <w:rPr>
          <w:rStyle w:val="8"/>
          <w:rFonts w:hint="eastAsia" w:ascii="仿宋" w:hAnsi="仿宋" w:eastAsia="仿宋" w:cs="仿宋"/>
          <w:b w:val="0"/>
          <w:bCs w:val="0"/>
          <w:color w:val="auto"/>
          <w:kern w:val="0"/>
          <w:sz w:val="32"/>
          <w:szCs w:val="32"/>
          <w:lang w:val="en-US" w:eastAsia="zh-CN"/>
        </w:rPr>
        <w:t>《金沙滩》</w:t>
      </w:r>
      <w:r>
        <w:rPr>
          <w:rFonts w:hint="eastAsia" w:ascii="仿宋" w:hAnsi="仿宋" w:eastAsia="仿宋"/>
          <w:sz w:val="32"/>
          <w:szCs w:val="32"/>
        </w:rPr>
        <w:t>、</w:t>
      </w:r>
      <w:r>
        <w:rPr>
          <w:rStyle w:val="8"/>
          <w:rFonts w:hint="eastAsia" w:ascii="仿宋" w:hAnsi="仿宋" w:eastAsia="仿宋" w:cs="仿宋"/>
          <w:b w:val="0"/>
          <w:bCs w:val="0"/>
          <w:color w:val="auto"/>
          <w:kern w:val="0"/>
          <w:sz w:val="32"/>
          <w:szCs w:val="32"/>
          <w:lang w:val="en-US" w:eastAsia="zh-CN"/>
        </w:rPr>
        <w:t>《徐九经升官记》</w:t>
      </w:r>
      <w:r>
        <w:rPr>
          <w:rFonts w:hint="eastAsia" w:ascii="仿宋" w:hAnsi="仿宋" w:eastAsia="仿宋"/>
          <w:sz w:val="32"/>
          <w:szCs w:val="32"/>
        </w:rPr>
        <w:t>、</w:t>
      </w:r>
      <w:r>
        <w:rPr>
          <w:rStyle w:val="8"/>
          <w:rFonts w:hint="eastAsia" w:ascii="仿宋" w:hAnsi="仿宋" w:eastAsia="仿宋" w:cs="仿宋"/>
          <w:b w:val="0"/>
          <w:bCs w:val="0"/>
          <w:color w:val="auto"/>
          <w:kern w:val="0"/>
          <w:sz w:val="32"/>
          <w:szCs w:val="32"/>
          <w:lang w:val="en-US" w:eastAsia="zh-CN"/>
        </w:rPr>
        <w:t>《红鬃烈马》</w:t>
      </w:r>
      <w:r>
        <w:rPr>
          <w:rFonts w:hint="eastAsia" w:ascii="仿宋" w:hAnsi="仿宋" w:eastAsia="仿宋"/>
          <w:sz w:val="32"/>
          <w:szCs w:val="32"/>
        </w:rPr>
        <w:t>、</w:t>
      </w:r>
      <w:r>
        <w:rPr>
          <w:rStyle w:val="8"/>
          <w:rFonts w:hint="eastAsia" w:ascii="仿宋" w:hAnsi="仿宋" w:eastAsia="仿宋" w:cs="仿宋"/>
          <w:b w:val="0"/>
          <w:bCs w:val="0"/>
          <w:color w:val="auto"/>
          <w:kern w:val="0"/>
          <w:sz w:val="32"/>
          <w:szCs w:val="32"/>
          <w:lang w:val="en-US" w:eastAsia="zh-CN"/>
        </w:rPr>
        <w:t>《锁麟囊》、话剧《立秋》、保定老调《大刀王怀女》</w:t>
      </w:r>
      <w:r>
        <w:rPr>
          <w:rFonts w:hint="eastAsia" w:ascii="仿宋" w:hAnsi="仿宋" w:eastAsia="仿宋"/>
          <w:sz w:val="32"/>
          <w:szCs w:val="32"/>
        </w:rPr>
        <w:t>、</w:t>
      </w:r>
      <w:r>
        <w:rPr>
          <w:rStyle w:val="8"/>
          <w:rFonts w:hint="eastAsia" w:ascii="仿宋" w:hAnsi="仿宋" w:eastAsia="仿宋" w:cs="仿宋"/>
          <w:b w:val="0"/>
          <w:bCs w:val="0"/>
          <w:color w:val="auto"/>
          <w:kern w:val="0"/>
          <w:sz w:val="32"/>
          <w:szCs w:val="32"/>
          <w:lang w:val="en-US" w:eastAsia="zh-CN"/>
        </w:rPr>
        <w:t>《金沙滩》、吕剧《大河开凌》</w:t>
      </w:r>
      <w:r>
        <w:rPr>
          <w:rFonts w:hint="eastAsia" w:ascii="仿宋" w:hAnsi="仿宋" w:eastAsia="仿宋"/>
          <w:sz w:val="32"/>
          <w:szCs w:val="32"/>
        </w:rPr>
        <w:t>、</w:t>
      </w:r>
      <w:r>
        <w:rPr>
          <w:rStyle w:val="8"/>
          <w:rFonts w:hint="eastAsia" w:ascii="仿宋" w:hAnsi="仿宋" w:eastAsia="仿宋" w:cs="仿宋"/>
          <w:b w:val="0"/>
          <w:bCs w:val="0"/>
          <w:color w:val="auto"/>
          <w:kern w:val="0"/>
          <w:sz w:val="32"/>
          <w:szCs w:val="32"/>
          <w:lang w:val="en-US" w:eastAsia="zh-CN"/>
        </w:rPr>
        <w:t>《姊妹易嫁》等精品剧目12场。</w:t>
      </w:r>
      <w:r>
        <w:rPr>
          <w:rFonts w:hint="eastAsia" w:ascii="仿宋" w:hAnsi="仿宋" w:eastAsia="仿宋"/>
          <w:sz w:val="32"/>
          <w:szCs w:val="32"/>
        </w:rPr>
        <w:t>加工提高剧4个</w:t>
      </w:r>
      <w:r>
        <w:rPr>
          <w:rFonts w:hint="eastAsia" w:ascii="仿宋" w:hAnsi="仿宋" w:eastAsia="仿宋"/>
          <w:sz w:val="32"/>
          <w:szCs w:val="32"/>
          <w:lang w:eastAsia="zh-CN"/>
        </w:rPr>
        <w:t>：</w:t>
      </w:r>
      <w:r>
        <w:rPr>
          <w:rFonts w:hint="eastAsia" w:ascii="仿宋" w:hAnsi="仿宋" w:eastAsia="仿宋"/>
          <w:sz w:val="32"/>
          <w:szCs w:val="32"/>
        </w:rPr>
        <w:t>评剧《墙头马上》、《家长理短》、河北梆子《新包公赔情》</w:t>
      </w:r>
      <w:r>
        <w:rPr>
          <w:rFonts w:hint="eastAsia" w:ascii="仿宋" w:hAnsi="仿宋" w:eastAsia="仿宋"/>
          <w:sz w:val="32"/>
          <w:szCs w:val="32"/>
          <w:lang w:eastAsia="zh-CN"/>
        </w:rPr>
        <w:t>和</w:t>
      </w:r>
      <w:r>
        <w:rPr>
          <w:rFonts w:hint="eastAsia" w:ascii="仿宋" w:hAnsi="仿宋" w:eastAsia="仿宋"/>
          <w:sz w:val="32"/>
          <w:szCs w:val="32"/>
        </w:rPr>
        <w:t>丝弦《大唐魏徵》</w:t>
      </w:r>
      <w:r>
        <w:rPr>
          <w:rFonts w:hint="eastAsia" w:ascii="仿宋" w:hAnsi="仿宋" w:eastAsia="仿宋"/>
          <w:sz w:val="32"/>
          <w:szCs w:val="32"/>
          <w:lang w:eastAsia="zh-CN"/>
        </w:rPr>
        <w:t>；</w:t>
      </w:r>
      <w:r>
        <w:rPr>
          <w:rFonts w:hint="eastAsia" w:ascii="仿宋" w:hAnsi="仿宋" w:eastAsia="仿宋"/>
          <w:sz w:val="32"/>
          <w:szCs w:val="32"/>
        </w:rPr>
        <w:t>复排剧目8个</w:t>
      </w:r>
      <w:r>
        <w:rPr>
          <w:rFonts w:hint="eastAsia" w:ascii="仿宋" w:hAnsi="仿宋" w:eastAsia="仿宋"/>
          <w:sz w:val="32"/>
          <w:szCs w:val="32"/>
          <w:lang w:eastAsia="zh-CN"/>
        </w:rPr>
        <w:t>：</w:t>
      </w:r>
      <w:r>
        <w:rPr>
          <w:rFonts w:hint="eastAsia" w:ascii="仿宋" w:hAnsi="仿宋" w:eastAsia="仿宋"/>
          <w:sz w:val="32"/>
          <w:szCs w:val="32"/>
        </w:rPr>
        <w:t>京剧《玉堂春》、评剧《杨三姐告状》、《三娘教子》、评剧《胡风汉月》、河北梆子《春草闯堂》、《姊妹易嫁》、丝弦《宗泽与岳飞》、《黄飞虎》</w:t>
      </w:r>
      <w:r>
        <w:rPr>
          <w:rFonts w:hint="eastAsia" w:ascii="仿宋" w:hAnsi="仿宋" w:eastAsia="仿宋"/>
          <w:sz w:val="32"/>
          <w:szCs w:val="32"/>
          <w:lang w:eastAsia="zh-CN"/>
        </w:rPr>
        <w:t>。</w:t>
      </w:r>
      <w:r>
        <w:rPr>
          <w:rFonts w:hint="eastAsia" w:ascii="仿宋" w:hAnsi="仿宋" w:eastAsia="仿宋"/>
          <w:sz w:val="32"/>
          <w:szCs w:val="32"/>
        </w:rPr>
        <w:t>创排剧目2个，扶持</w:t>
      </w:r>
    </w:p>
    <w:p>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560" w:lineRule="exact"/>
        <w:ind w:left="0" w:leftChars="0" w:right="0" w:rightChars="0"/>
        <w:jc w:val="both"/>
        <w:textAlignment w:val="auto"/>
        <w:outlineLvl w:val="9"/>
        <w:rPr>
          <w:rStyle w:val="8"/>
          <w:rFonts w:hint="eastAsia" w:ascii="仿宋" w:hAnsi="仿宋" w:eastAsia="仿宋" w:cs="仿宋"/>
          <w:b w:val="0"/>
          <w:bCs w:val="0"/>
          <w:color w:val="auto"/>
          <w:kern w:val="0"/>
          <w:sz w:val="32"/>
          <w:szCs w:val="32"/>
          <w:lang w:val="en-US" w:eastAsia="zh-CN"/>
        </w:rPr>
      </w:pPr>
      <w:r>
        <w:rPr>
          <w:rFonts w:hint="eastAsia" w:ascii="仿宋" w:hAnsi="仿宋" w:eastAsia="仿宋"/>
          <w:sz w:val="32"/>
          <w:szCs w:val="32"/>
        </w:rPr>
        <w:t>儿童剧《聪聪历险记》、《多多历险记》</w:t>
      </w:r>
      <w:r>
        <w:rPr>
          <w:rFonts w:hint="eastAsia" w:ascii="仿宋" w:hAnsi="仿宋" w:eastAsia="仿宋"/>
          <w:sz w:val="32"/>
          <w:szCs w:val="32"/>
          <w:lang w:eastAsia="zh-CN"/>
        </w:rPr>
        <w:t>。</w:t>
      </w:r>
      <w:r>
        <w:rPr>
          <w:rStyle w:val="8"/>
          <w:rFonts w:hint="eastAsia" w:ascii="仿宋" w:hAnsi="仿宋" w:eastAsia="仿宋" w:cs="仿宋"/>
          <w:b w:val="0"/>
          <w:bCs w:val="0"/>
          <w:color w:val="auto"/>
          <w:kern w:val="0"/>
          <w:sz w:val="32"/>
          <w:szCs w:val="32"/>
          <w:lang w:val="en-US" w:eastAsia="zh-CN"/>
        </w:rPr>
        <w:t>组织开展“文化旅游进社区”系列活动，推进旅游景区宣传展示、旅游直通车等惠民活动深入基层。开展公共文化服务提升工程，发放文化惠民卡30000张、文化惠民券264521张，已超额完成全年任务。组织开展“我们的中国梦——文化进万家”庆祝中国共产党成立100周年暨省会第28届“彩色周末”文化活动，已开展400余场，服务33万余人次。开展文化惠民演出1035场。</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楷体" w:hAnsi="楷体" w:eastAsia="楷体" w:cs="楷体"/>
          <w:sz w:val="32"/>
          <w:szCs w:val="32"/>
          <w:lang w:eastAsia="zh-CN"/>
        </w:rPr>
      </w:pPr>
      <w:r>
        <w:rPr>
          <w:rStyle w:val="8"/>
          <w:rFonts w:hint="eastAsia" w:ascii="仿宋" w:hAnsi="仿宋" w:eastAsia="仿宋" w:cs="仿宋"/>
          <w:b w:val="0"/>
          <w:bCs w:val="0"/>
          <w:color w:val="auto"/>
          <w:kern w:val="0"/>
          <w:sz w:val="32"/>
          <w:szCs w:val="32"/>
          <w:lang w:val="en-US" w:eastAsia="zh-CN"/>
        </w:rPr>
        <w:t>加强文艺精品创作，为建党一百周年献礼。为庆祝中国共产党成立100周年，市京剧团挖掘本地革命题材，创排了现代京剧《挂云山》，被列为我省庆祝中国共产党建党百年优秀剧目，并进行了首演和巡演，我市“四大机关”领导以及省委宣传部和省文旅厅相关领导观看了演出。全力创排《团结就是力量》歌舞剧，该剧作为我市党史学习教育的生动教材在全市巡演。创排了“光辉的旗帜——石家庄市庆祝中国共产党建党100周年文艺晚会”，于6月29日在石家庄大剧院演出。</w:t>
      </w:r>
    </w:p>
    <w:p>
      <w:pPr>
        <w:keepNext w:val="0"/>
        <w:keepLines w:val="0"/>
        <w:pageBreakBefore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color w:val="auto"/>
          <w:sz w:val="32"/>
          <w:szCs w:val="32"/>
          <w:lang w:eastAsia="zh-CN"/>
        </w:rPr>
      </w:pPr>
      <w:r>
        <w:rPr>
          <w:rFonts w:hint="eastAsia" w:ascii="楷体" w:hAnsi="楷体" w:eastAsia="楷体" w:cs="楷体"/>
          <w:sz w:val="32"/>
          <w:szCs w:val="32"/>
          <w:lang w:eastAsia="zh-CN"/>
        </w:rPr>
        <w:t>三是</w:t>
      </w:r>
      <w:r>
        <w:rPr>
          <w:rFonts w:hint="eastAsia" w:ascii="楷体" w:hAnsi="楷体" w:eastAsia="楷体" w:cs="楷体"/>
          <w:sz w:val="32"/>
          <w:szCs w:val="32"/>
        </w:rPr>
        <w:t>促进非物质文化遗产传承发展</w:t>
      </w:r>
      <w:r>
        <w:rPr>
          <w:rFonts w:hint="eastAsia" w:ascii="楷体" w:hAnsi="楷体" w:eastAsia="楷体" w:cs="楷体"/>
          <w:sz w:val="32"/>
          <w:szCs w:val="32"/>
          <w:lang w:eastAsia="zh-CN"/>
        </w:rPr>
        <w:t>。</w:t>
      </w:r>
      <w:r>
        <w:rPr>
          <w:rFonts w:hint="eastAsia" w:ascii="仿宋" w:hAnsi="仿宋" w:eastAsia="仿宋" w:cs="仿宋"/>
          <w:color w:val="auto"/>
          <w:sz w:val="32"/>
          <w:szCs w:val="32"/>
          <w:lang w:eastAsia="zh-CN"/>
        </w:rPr>
        <w:t>成功</w:t>
      </w:r>
      <w:r>
        <w:rPr>
          <w:rFonts w:hint="eastAsia" w:ascii="仿宋" w:hAnsi="仿宋" w:eastAsia="仿宋" w:cs="仿宋"/>
          <w:color w:val="auto"/>
          <w:sz w:val="32"/>
          <w:szCs w:val="32"/>
        </w:rPr>
        <w:t>举办2021年石家庄“文化和自然遗产日”暨庆祝建党100周年非遗主场活动</w:t>
      </w:r>
      <w:r>
        <w:rPr>
          <w:rFonts w:hint="eastAsia" w:ascii="仿宋" w:hAnsi="仿宋" w:eastAsia="仿宋" w:cs="仿宋"/>
          <w:color w:val="auto"/>
          <w:sz w:val="32"/>
          <w:szCs w:val="32"/>
          <w:lang w:eastAsia="zh-CN"/>
        </w:rPr>
        <w:t>，包含：栾城</w:t>
      </w:r>
      <w:r>
        <w:rPr>
          <w:rFonts w:hint="eastAsia" w:ascii="仿宋" w:hAnsi="仿宋" w:eastAsia="仿宋" w:cs="仿宋"/>
          <w:color w:val="auto"/>
          <w:sz w:val="32"/>
          <w:szCs w:val="32"/>
        </w:rPr>
        <w:t>传统工艺工作站揭牌仪式、“百年百艺·薪火相传”</w:t>
      </w:r>
      <w:r>
        <w:rPr>
          <w:rFonts w:hint="eastAsia" w:ascii="仿宋" w:hAnsi="仿宋" w:eastAsia="仿宋" w:cs="仿宋"/>
          <w:color w:val="auto"/>
          <w:sz w:val="32"/>
          <w:szCs w:val="32"/>
          <w:lang w:eastAsia="zh-CN"/>
        </w:rPr>
        <w:t>石家庄</w:t>
      </w:r>
      <w:r>
        <w:rPr>
          <w:rFonts w:hint="eastAsia" w:ascii="仿宋" w:hAnsi="仿宋" w:eastAsia="仿宋" w:cs="仿宋"/>
          <w:color w:val="auto"/>
          <w:sz w:val="32"/>
          <w:szCs w:val="32"/>
        </w:rPr>
        <w:t>传统工艺邀请展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石家庄地域文化与传统工艺振兴暨《非遗法》颁布实施十周年座谈会</w:t>
      </w:r>
      <w:r>
        <w:rPr>
          <w:rFonts w:hint="eastAsia" w:ascii="仿宋" w:hAnsi="仿宋" w:eastAsia="仿宋" w:cs="仿宋"/>
          <w:color w:val="auto"/>
          <w:sz w:val="32"/>
          <w:szCs w:val="32"/>
          <w:lang w:eastAsia="zh-CN"/>
        </w:rPr>
        <w:t>等</w:t>
      </w:r>
      <w:r>
        <w:rPr>
          <w:rFonts w:hint="eastAsia" w:ascii="仿宋" w:hAnsi="仿宋" w:eastAsia="仿宋" w:cs="仿宋"/>
          <w:color w:val="auto"/>
          <w:sz w:val="32"/>
          <w:szCs w:val="32"/>
        </w:rPr>
        <w:t>活动</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进一步提高</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rPr>
        <w:t>全社会非遗保护意识</w:t>
      </w:r>
      <w:r>
        <w:rPr>
          <w:rFonts w:hint="eastAsia" w:ascii="仿宋" w:hAnsi="仿宋" w:eastAsia="仿宋" w:cs="仿宋"/>
          <w:color w:val="auto"/>
          <w:sz w:val="32"/>
          <w:szCs w:val="32"/>
          <w:lang w:eastAsia="zh-CN"/>
        </w:rPr>
        <w:t>。</w:t>
      </w:r>
      <w:r>
        <w:rPr>
          <w:rFonts w:hint="eastAsia" w:ascii="仿宋" w:hAnsi="仿宋" w:eastAsia="仿宋" w:cs="仿宋"/>
          <w:sz w:val="32"/>
          <w:szCs w:val="32"/>
        </w:rPr>
        <w:t>围绕“人民的非遗 人民共享”活动主题，</w:t>
      </w:r>
      <w:r>
        <w:rPr>
          <w:rFonts w:hint="eastAsia" w:ascii="仿宋" w:hAnsi="仿宋" w:eastAsia="仿宋" w:cs="仿宋"/>
          <w:sz w:val="32"/>
          <w:szCs w:val="32"/>
          <w:lang w:val="en-US" w:eastAsia="zh-CN"/>
        </w:rPr>
        <w:t>指导各县（市、区）、相关单位开展了丰富多彩的</w:t>
      </w:r>
      <w:r>
        <w:rPr>
          <w:rFonts w:hint="eastAsia" w:ascii="仿宋" w:hAnsi="仿宋" w:eastAsia="仿宋" w:cs="仿宋"/>
          <w:sz w:val="32"/>
          <w:szCs w:val="32"/>
        </w:rPr>
        <w:t>“文化和自然遗产日”非遗宣传展示活动。</w:t>
      </w:r>
      <w:r>
        <w:rPr>
          <w:rFonts w:hint="eastAsia" w:ascii="仿宋" w:hAnsi="仿宋" w:eastAsia="仿宋" w:cs="仿宋"/>
          <w:color w:val="auto"/>
          <w:sz w:val="32"/>
          <w:szCs w:val="32"/>
          <w:lang w:eastAsia="zh-CN"/>
        </w:rPr>
        <w:t>组织参加了河北</w:t>
      </w:r>
      <w:r>
        <w:rPr>
          <w:rFonts w:hint="eastAsia" w:ascii="仿宋" w:hAnsi="仿宋" w:eastAsia="仿宋" w:cs="仿宋"/>
          <w:color w:val="auto"/>
          <w:sz w:val="32"/>
          <w:szCs w:val="32"/>
        </w:rPr>
        <w:t>“非遗购物节”</w:t>
      </w:r>
      <w:r>
        <w:rPr>
          <w:rFonts w:hint="eastAsia" w:ascii="仿宋" w:hAnsi="仿宋" w:eastAsia="仿宋" w:cs="仿宋"/>
          <w:color w:val="auto"/>
          <w:sz w:val="32"/>
          <w:szCs w:val="32"/>
          <w:lang w:eastAsia="zh-CN"/>
        </w:rPr>
        <w:t>、“长城脚下话非遗”等非遗</w:t>
      </w:r>
      <w:r>
        <w:rPr>
          <w:rFonts w:hint="eastAsia" w:ascii="仿宋" w:hAnsi="仿宋" w:eastAsia="仿宋" w:cs="仿宋"/>
          <w:color w:val="auto"/>
          <w:sz w:val="32"/>
          <w:szCs w:val="32"/>
        </w:rPr>
        <w:t>宣传</w:t>
      </w:r>
      <w:r>
        <w:rPr>
          <w:rFonts w:hint="eastAsia" w:ascii="仿宋" w:hAnsi="仿宋" w:eastAsia="仿宋" w:cs="仿宋"/>
          <w:color w:val="auto"/>
          <w:sz w:val="32"/>
          <w:szCs w:val="32"/>
          <w:lang w:eastAsia="zh-CN"/>
        </w:rPr>
        <w:t>展示</w:t>
      </w:r>
      <w:r>
        <w:rPr>
          <w:rFonts w:hint="eastAsia" w:ascii="仿宋" w:hAnsi="仿宋" w:eastAsia="仿宋" w:cs="仿宋"/>
          <w:color w:val="auto"/>
          <w:sz w:val="32"/>
          <w:szCs w:val="32"/>
        </w:rPr>
        <w:t>活动，</w:t>
      </w:r>
      <w:r>
        <w:rPr>
          <w:rFonts w:hint="eastAsia" w:ascii="仿宋" w:hAnsi="仿宋" w:eastAsia="仿宋" w:cs="仿宋"/>
          <w:b w:val="0"/>
          <w:i w:val="0"/>
          <w:caps w:val="0"/>
          <w:color w:val="auto"/>
          <w:spacing w:val="15"/>
          <w:kern w:val="0"/>
          <w:sz w:val="32"/>
          <w:szCs w:val="32"/>
          <w:shd w:val="clear" w:color="auto" w:fill="FFFFFF"/>
          <w:lang w:val="en-US" w:eastAsia="zh-CN" w:bidi="ar"/>
        </w:rPr>
        <w:t>充分展示了石家庄地域优秀传统文化的魅力</w:t>
      </w:r>
      <w:r>
        <w:rPr>
          <w:rFonts w:hint="eastAsia" w:ascii="仿宋" w:hAnsi="仿宋" w:eastAsia="仿宋" w:cs="仿宋"/>
          <w:color w:val="auto"/>
          <w:sz w:val="32"/>
          <w:szCs w:val="32"/>
          <w:lang w:eastAsia="zh-CN"/>
        </w:rPr>
        <w:t>。</w:t>
      </w:r>
      <w:r>
        <w:rPr>
          <w:rFonts w:hint="eastAsia" w:ascii="仿宋" w:hAnsi="仿宋" w:eastAsia="仿宋" w:cs="仿宋"/>
          <w:b w:val="0"/>
          <w:bCs w:val="0"/>
          <w:spacing w:val="0"/>
          <w:sz w:val="32"/>
          <w:szCs w:val="32"/>
          <w:lang w:val="en-US" w:eastAsia="zh-CN"/>
        </w:rPr>
        <w:t>支持石家庄丝弦、评剧、青评加强戏曲剧种后备人才培养，使传统戏剧类非遗在活态传承中再现生机与活力。为市直</w:t>
      </w:r>
      <w:r>
        <w:rPr>
          <w:rFonts w:hint="eastAsia" w:ascii="仿宋" w:hAnsi="仿宋" w:eastAsia="仿宋" w:cs="仿宋"/>
          <w:color w:val="auto"/>
          <w:sz w:val="32"/>
          <w:szCs w:val="32"/>
          <w:lang w:eastAsia="zh-CN"/>
        </w:rPr>
        <w:t>国家、省、市级非遗代表性传承人发放补助资金，鼓励传承人积极开展传承传播活动，提高传承能力。进一步完善非遗传承体系，组织完成市八批非遗代表性传承人申报认定和省六批非遗代表性传承人申报推荐。完成全市非遗保护资料汇编（修订版）编纂，</w:t>
      </w:r>
      <w:r>
        <w:rPr>
          <w:rFonts w:hint="eastAsia" w:ascii="仿宋" w:hAnsi="仿宋" w:eastAsia="仿宋" w:cs="仿宋"/>
          <w:color w:val="000000"/>
          <w:spacing w:val="0"/>
          <w:kern w:val="0"/>
          <w:sz w:val="32"/>
          <w:szCs w:val="32"/>
          <w:lang w:val="en-US" w:eastAsia="zh-CN"/>
        </w:rPr>
        <w:t>为非遗保护分析研究、非遗管理等提供资源支持。</w:t>
      </w:r>
      <w:r>
        <w:rPr>
          <w:rFonts w:hint="eastAsia" w:ascii="仿宋" w:hAnsi="仿宋" w:eastAsia="仿宋" w:cs="仿宋"/>
          <w:color w:val="auto"/>
          <w:sz w:val="32"/>
          <w:szCs w:val="32"/>
          <w:lang w:val="en-US" w:eastAsia="zh-CN"/>
        </w:rPr>
        <w:t>结合端午、中秋等传统节日，持续推进非遗进景区，加快非遗旅游融合发展</w:t>
      </w:r>
      <w:r>
        <w:rPr>
          <w:rFonts w:hint="eastAsia" w:ascii="仿宋" w:hAnsi="仿宋" w:eastAsia="仿宋" w:cs="仿宋"/>
          <w:color w:val="auto"/>
          <w:sz w:val="32"/>
          <w:szCs w:val="32"/>
          <w:lang w:eastAsia="zh-CN"/>
        </w:rPr>
        <w:t>。加强非遗宣传传播，</w:t>
      </w:r>
      <w:r>
        <w:rPr>
          <w:rFonts w:hint="eastAsia" w:ascii="仿宋" w:hAnsi="仿宋" w:eastAsia="仿宋" w:cs="仿宋"/>
          <w:sz w:val="32"/>
          <w:szCs w:val="32"/>
          <w:lang w:eastAsia="zh-CN"/>
        </w:rPr>
        <w:t>与市委《决策》合作开设非遗专栏。利用微信公众号等新媒体加强非遗宣传展示，</w:t>
      </w:r>
      <w:r>
        <w:rPr>
          <w:rFonts w:hint="eastAsia" w:ascii="仿宋" w:hAnsi="仿宋" w:eastAsia="仿宋" w:cs="仿宋"/>
          <w:color w:val="auto"/>
          <w:sz w:val="32"/>
          <w:szCs w:val="32"/>
          <w:lang w:eastAsia="zh-CN"/>
        </w:rPr>
        <w:t>进一步浓厚非遗保护氛围。</w:t>
      </w:r>
    </w:p>
    <w:p>
      <w:pPr>
        <w:keepNext w:val="0"/>
        <w:keepLines w:val="0"/>
        <w:pageBreakBefore w:val="0"/>
        <w:kinsoku/>
        <w:wordWrap/>
        <w:overflowPunct/>
        <w:topLinePunct w:val="0"/>
        <w:autoSpaceDE/>
        <w:autoSpaceDN/>
        <w:bidi w:val="0"/>
        <w:spacing w:line="560" w:lineRule="exact"/>
        <w:ind w:firstLine="640" w:firstLineChars="200"/>
        <w:textAlignment w:val="auto"/>
        <w:rPr>
          <w:rStyle w:val="8"/>
          <w:rFonts w:hint="eastAsia" w:ascii="仿宋" w:hAnsi="仿宋" w:eastAsia="仿宋" w:cs="仿宋"/>
          <w:b w:val="0"/>
          <w:bCs w:val="0"/>
          <w:color w:val="auto"/>
          <w:kern w:val="0"/>
          <w:sz w:val="32"/>
          <w:szCs w:val="32"/>
          <w:lang w:val="en-US" w:eastAsia="zh-CN"/>
        </w:rPr>
      </w:pPr>
      <w:r>
        <w:rPr>
          <w:rFonts w:hint="eastAsia" w:ascii="楷体" w:hAnsi="楷体" w:eastAsia="楷体" w:cs="楷体"/>
          <w:sz w:val="32"/>
          <w:szCs w:val="32"/>
          <w:lang w:eastAsia="zh-CN"/>
        </w:rPr>
        <w:t>四是完善公共文化服务体系建设。</w:t>
      </w:r>
      <w:r>
        <w:rPr>
          <w:rFonts w:hint="eastAsia" w:ascii="仿宋" w:hAnsi="仿宋" w:eastAsia="仿宋" w:cs="仿宋"/>
          <w:sz w:val="32"/>
          <w:szCs w:val="32"/>
        </w:rPr>
        <w:t>2021年全市组织开展“彩色周末”群众文化活动426场次，参与群众34万余人次。市县两级公共文化馆图书馆覆盖率100%，乡镇文化站覆盖率100%，并全部按要求免费向公众开放。在第五次全国文化馆评定等级工作中，我市参评的22个文化馆全部上等级，上等级总数和上等级率全部100%。</w:t>
      </w:r>
      <w:r>
        <w:rPr>
          <w:rStyle w:val="8"/>
          <w:rFonts w:hint="eastAsia" w:ascii="仿宋" w:hAnsi="仿宋" w:eastAsia="仿宋" w:cs="仿宋"/>
          <w:b w:val="0"/>
          <w:bCs w:val="0"/>
          <w:color w:val="auto"/>
          <w:kern w:val="0"/>
          <w:sz w:val="32"/>
          <w:szCs w:val="32"/>
          <w:lang w:val="en-US" w:eastAsia="zh-CN"/>
        </w:rPr>
        <w:t>持续推进旅游厕所革命，建设示范性旅游厕所23座，任务完成率115%。</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楷体" w:hAnsi="楷体" w:eastAsia="楷体" w:cs="楷体"/>
          <w:color w:val="auto"/>
          <w:sz w:val="32"/>
          <w:szCs w:val="32"/>
          <w:lang w:eastAsia="zh-CN"/>
        </w:rPr>
        <w:t>五是</w:t>
      </w:r>
      <w:r>
        <w:rPr>
          <w:rFonts w:hint="eastAsia" w:ascii="楷体" w:hAnsi="楷体" w:eastAsia="楷体" w:cs="楷体"/>
          <w:color w:val="auto"/>
          <w:sz w:val="32"/>
          <w:szCs w:val="32"/>
        </w:rPr>
        <w:t>发展职业艺术教育</w:t>
      </w:r>
      <w:r>
        <w:rPr>
          <w:rFonts w:hint="eastAsia" w:ascii="楷体" w:hAnsi="楷体" w:eastAsia="楷体" w:cs="楷体"/>
          <w:color w:val="auto"/>
          <w:sz w:val="32"/>
          <w:szCs w:val="32"/>
          <w:lang w:eastAsia="zh-CN"/>
        </w:rPr>
        <w:t>。</w:t>
      </w:r>
      <w:r>
        <w:rPr>
          <w:rFonts w:hint="eastAsia" w:ascii="仿宋" w:hAnsi="仿宋" w:eastAsia="仿宋" w:cs="仿宋"/>
          <w:sz w:val="32"/>
          <w:szCs w:val="32"/>
        </w:rPr>
        <w:t>为庆祝建党100周年，挖掘我市红色资源，传承红色基因，推出了现代京剧《挂云山》、歌舞剧《团结就是力量》、河北梆子《吕建江》、评剧电影《安娥》等优秀剧目。学校教精品教学项目以课程和教师队伍建设为抓手，提升教师业务能力；以赛促学，提升学生专业学习水平；以考促改，提升学生高考质量，设立舞蹈、戏曲、声乐、器乐四个学科项目，获奖教学项目34个，其中获精品教学项目33个，达到97.06%。2021年在校师生1,281人，校舍面积8,555平方米，比例≧15%</w:t>
      </w:r>
      <w:r>
        <w:rPr>
          <w:rFonts w:hint="eastAsia" w:ascii="仿宋" w:hAnsi="仿宋" w:eastAsia="仿宋" w:cs="仿宋"/>
          <w:sz w:val="32"/>
          <w:szCs w:val="32"/>
          <w:lang w:val="en-US" w:eastAsia="zh-CN"/>
        </w:rPr>
        <w:t>.</w:t>
      </w:r>
      <w:r>
        <w:rPr>
          <w:rFonts w:hint="eastAsia" w:ascii="仿宋" w:hAnsi="仿宋" w:eastAsia="仿宋" w:cs="仿宋"/>
          <w:sz w:val="32"/>
          <w:szCs w:val="32"/>
        </w:rPr>
        <w:t xml:space="preserve"> 建档立卡学生13人</w:t>
      </w:r>
      <w:r>
        <w:rPr>
          <w:rFonts w:hint="eastAsia" w:ascii="仿宋" w:hAnsi="仿宋" w:eastAsia="仿宋" w:cs="仿宋"/>
          <w:color w:val="000000" w:themeColor="text1"/>
          <w:sz w:val="32"/>
          <w:szCs w:val="32"/>
        </w:rPr>
        <w:t>，减免书本费及学住费7.66万元，</w:t>
      </w:r>
      <w:r>
        <w:rPr>
          <w:rFonts w:hint="eastAsia" w:ascii="仿宋" w:hAnsi="仿宋" w:eastAsia="仿宋" w:cs="仿宋"/>
          <w:sz w:val="32"/>
          <w:szCs w:val="32"/>
        </w:rPr>
        <w:t>确保贫困家庭子女顺利完成学业，无因贫困而失学的学生，该指标达到预期绩效效果，完成目标任务。</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我局认真开展了预算绩效管理改革情况自查，对部门工作全面规范绩效指标和标准体系、预算执行管理、绩效评价工作、预决算信息公开等方面进行了自评，考核结果为优秀。</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pStyle w:val="2"/>
        <w:keepNext w:val="0"/>
        <w:keepLines w:val="0"/>
        <w:pageBreakBefore w:val="0"/>
        <w:kinsoku/>
        <w:wordWrap/>
        <w:overflowPunct/>
        <w:topLinePunct w:val="0"/>
        <w:autoSpaceDE/>
        <w:autoSpaceDN/>
        <w:bidi w:val="0"/>
        <w:spacing w:line="560" w:lineRule="exact"/>
        <w:textAlignment w:val="auto"/>
        <w:rPr>
          <w:rFonts w:hint="eastAsia" w:eastAsia="仿宋"/>
          <w:lang w:val="en-US" w:eastAsia="zh-CN"/>
        </w:rPr>
      </w:pPr>
      <w:r>
        <w:rPr>
          <w:rFonts w:hint="eastAsia" w:ascii="仿宋" w:hAnsi="仿宋" w:eastAsia="仿宋"/>
          <w:b/>
          <w:bCs/>
          <w:sz w:val="32"/>
          <w:szCs w:val="32"/>
          <w:lang w:val="en-US" w:eastAsia="zh-CN"/>
        </w:rPr>
        <w:t xml:space="preserve"> </w:t>
      </w:r>
      <w:r>
        <w:rPr>
          <w:rFonts w:hint="eastAsia" w:ascii="仿宋" w:hAnsi="仿宋" w:eastAsia="仿宋"/>
          <w:b w:val="0"/>
          <w:bCs w:val="0"/>
          <w:sz w:val="32"/>
          <w:szCs w:val="32"/>
          <w:lang w:val="en-US" w:eastAsia="zh-CN"/>
        </w:rPr>
        <w:t>无</w:t>
      </w:r>
    </w:p>
    <w:p>
      <w:pPr>
        <w:keepNext w:val="0"/>
        <w:keepLines w:val="0"/>
        <w:pageBreakBefore w:val="0"/>
        <w:widowControl w:val="0"/>
        <w:numPr>
          <w:ilvl w:val="0"/>
          <w:numId w:val="1"/>
        </w:numPr>
        <w:kinsoku/>
        <w:wordWrap/>
        <w:overflowPunct/>
        <w:topLinePunct w:val="0"/>
        <w:autoSpaceDE/>
        <w:autoSpaceDN/>
        <w:bidi w:val="0"/>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pStyle w:val="2"/>
        <w:keepNext w:val="0"/>
        <w:keepLines w:val="0"/>
        <w:pageBreakBefore w:val="0"/>
        <w:numPr>
          <w:ilvl w:val="0"/>
          <w:numId w:val="0"/>
        </w:numPr>
        <w:kinsoku/>
        <w:wordWrap/>
        <w:overflowPunct/>
        <w:topLinePunct w:val="0"/>
        <w:autoSpaceDE/>
        <w:autoSpaceDN/>
        <w:bidi w:val="0"/>
        <w:spacing w:line="560" w:lineRule="exact"/>
        <w:ind w:leftChars="200"/>
        <w:textAlignment w:val="auto"/>
        <w:rPr>
          <w:rFonts w:hint="default" w:eastAsia="仿宋_GB2312"/>
          <w:lang w:val="en-US" w:eastAsia="zh-CN"/>
        </w:rPr>
      </w:pPr>
      <w:r>
        <w:rPr>
          <w:rFonts w:hint="eastAsia"/>
          <w:lang w:val="en-US" w:eastAsia="zh-CN"/>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评价工作组人员名单及签字（姓名、工作单位、职务、职称）</w:t>
      </w:r>
    </w:p>
    <w:p>
      <w:pPr>
        <w:pStyle w:val="2"/>
        <w:keepNext w:val="0"/>
        <w:keepLines w:val="0"/>
        <w:pageBreakBefore w:val="0"/>
        <w:numPr>
          <w:ilvl w:val="0"/>
          <w:numId w:val="0"/>
        </w:numPr>
        <w:kinsoku/>
        <w:wordWrap/>
        <w:overflowPunct/>
        <w:topLinePunct w:val="0"/>
        <w:autoSpaceDE/>
        <w:autoSpaceDN/>
        <w:bidi w:val="0"/>
        <w:spacing w:line="560" w:lineRule="exact"/>
        <w:textAlignment w:val="auto"/>
        <w:rPr>
          <w:rFonts w:hint="default" w:eastAsia="仿宋_GB2312"/>
          <w:lang w:val="en-US" w:eastAsia="zh-CN"/>
        </w:rPr>
      </w:pPr>
      <w:r>
        <w:rPr>
          <w:rFonts w:hint="eastAsia"/>
          <w:lang w:val="en-US" w:eastAsia="zh-CN"/>
        </w:rPr>
        <w:t xml:space="preserve">      </w:t>
      </w:r>
      <w:r>
        <w:rPr>
          <w:rFonts w:hint="eastAsia"/>
          <w:kern w:val="2"/>
          <w:sz w:val="32"/>
          <w:szCs w:val="32"/>
          <w:lang w:val="en-US" w:eastAsia="zh-CN" w:bidi="ar-SA"/>
        </w:rPr>
        <w:t>为顺利做好此项工作，成立以</w:t>
      </w:r>
      <w:r>
        <w:rPr>
          <w:rFonts w:hint="eastAsia" w:ascii="仿宋_GB2312" w:eastAsia="仿宋_GB2312"/>
          <w:kern w:val="2"/>
          <w:sz w:val="32"/>
          <w:szCs w:val="32"/>
          <w:lang w:val="en-US" w:eastAsia="zh-CN" w:bidi="ar-SA"/>
        </w:rPr>
        <w:t>党政一把手</w:t>
      </w:r>
      <w:r>
        <w:rPr>
          <w:rFonts w:hint="eastAsia"/>
          <w:kern w:val="2"/>
          <w:sz w:val="32"/>
          <w:szCs w:val="32"/>
          <w:lang w:val="en-US" w:eastAsia="zh-CN" w:bidi="ar-SA"/>
        </w:rPr>
        <w:t>为组长，</w:t>
      </w:r>
      <w:r>
        <w:rPr>
          <w:rFonts w:hint="eastAsia" w:ascii="仿宋_GB2312" w:eastAsia="仿宋_GB2312"/>
          <w:kern w:val="2"/>
          <w:sz w:val="32"/>
          <w:szCs w:val="32"/>
          <w:lang w:val="en-US" w:eastAsia="zh-CN" w:bidi="ar-SA"/>
        </w:rPr>
        <w:t>各科室分管局长</w:t>
      </w:r>
      <w:r>
        <w:rPr>
          <w:rFonts w:hint="eastAsia"/>
          <w:kern w:val="2"/>
          <w:sz w:val="32"/>
          <w:szCs w:val="32"/>
          <w:lang w:val="en-US" w:eastAsia="zh-CN" w:bidi="ar-SA"/>
        </w:rPr>
        <w:t>为副组长，</w:t>
      </w:r>
      <w:r>
        <w:rPr>
          <w:rFonts w:hint="eastAsia" w:ascii="仿宋_GB2312" w:eastAsia="仿宋_GB2312"/>
          <w:kern w:val="2"/>
          <w:sz w:val="32"/>
          <w:szCs w:val="32"/>
          <w:lang w:val="en-US" w:eastAsia="zh-CN" w:bidi="ar-SA"/>
        </w:rPr>
        <w:t>各科室负责人</w:t>
      </w:r>
      <w:r>
        <w:rPr>
          <w:rFonts w:hint="eastAsia"/>
          <w:kern w:val="2"/>
          <w:sz w:val="32"/>
          <w:szCs w:val="32"/>
          <w:lang w:val="en-US" w:eastAsia="zh-CN" w:bidi="ar-SA"/>
        </w:rPr>
        <w:t>为成员的预算绩效管理工作领导小组。小组下</w:t>
      </w:r>
      <w:r>
        <w:rPr>
          <w:rFonts w:hint="eastAsia" w:ascii="仿宋_GB2312" w:eastAsia="仿宋_GB2312"/>
          <w:kern w:val="2"/>
          <w:sz w:val="32"/>
          <w:szCs w:val="32"/>
          <w:lang w:val="en-US" w:eastAsia="zh-CN" w:bidi="ar-SA"/>
        </w:rPr>
        <w:t>设办公室在规财科，具体负责评价工作的组织实施。</w:t>
      </w:r>
    </w:p>
    <w:p>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ascii="仿宋" w:hAnsi="仿宋" w:eastAsia="仿宋"/>
        </w:rPr>
      </w:pPr>
    </w:p>
    <w:bookmarkEnd w:id="0"/>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Calibri" w:hAnsi="Calibri" w:eastAsia="宋体" w:cs="黑体"/>
        <w:kern w:val="2"/>
        <w:sz w:val="18"/>
        <w:szCs w:val="22"/>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44C5B4"/>
    <w:multiLevelType w:val="singleLevel"/>
    <w:tmpl w:val="AA44C5B4"/>
    <w:lvl w:ilvl="0" w:tentative="0">
      <w:start w:val="6"/>
      <w:numFmt w:val="chineseCounting"/>
      <w:suff w:val="nothing"/>
      <w:lvlText w:val="%1、"/>
      <w:lvlJc w:val="left"/>
      <w:rPr>
        <w:rFonts w:hint="eastAsia"/>
      </w:rPr>
    </w:lvl>
  </w:abstractNum>
  <w:abstractNum w:abstractNumId="1">
    <w:nsid w:val="69E53B8C"/>
    <w:multiLevelType w:val="singleLevel"/>
    <w:tmpl w:val="69E53B8C"/>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31380D"/>
    <w:rsid w:val="007E6C1F"/>
    <w:rsid w:val="00AF566A"/>
    <w:rsid w:val="00B6553A"/>
    <w:rsid w:val="00ED1E2A"/>
    <w:rsid w:val="01275D88"/>
    <w:rsid w:val="01901FC8"/>
    <w:rsid w:val="019E1415"/>
    <w:rsid w:val="01B104CA"/>
    <w:rsid w:val="02106AB0"/>
    <w:rsid w:val="02B43A28"/>
    <w:rsid w:val="03004097"/>
    <w:rsid w:val="03171BF9"/>
    <w:rsid w:val="034D6BB0"/>
    <w:rsid w:val="037B371D"/>
    <w:rsid w:val="038F71C9"/>
    <w:rsid w:val="04253689"/>
    <w:rsid w:val="04493917"/>
    <w:rsid w:val="046F331E"/>
    <w:rsid w:val="05121AC6"/>
    <w:rsid w:val="06BC02D5"/>
    <w:rsid w:val="06E12BAE"/>
    <w:rsid w:val="07956271"/>
    <w:rsid w:val="07983B81"/>
    <w:rsid w:val="08670714"/>
    <w:rsid w:val="086C7AD9"/>
    <w:rsid w:val="08790EDA"/>
    <w:rsid w:val="08A51783"/>
    <w:rsid w:val="08F0070A"/>
    <w:rsid w:val="09616F12"/>
    <w:rsid w:val="09721397"/>
    <w:rsid w:val="0B156206"/>
    <w:rsid w:val="0B1667CF"/>
    <w:rsid w:val="0B495EAF"/>
    <w:rsid w:val="0BB63BED"/>
    <w:rsid w:val="0C112E71"/>
    <w:rsid w:val="0D271FE5"/>
    <w:rsid w:val="0D7B38CE"/>
    <w:rsid w:val="0D9E53FE"/>
    <w:rsid w:val="0E8B67DF"/>
    <w:rsid w:val="0EB97A43"/>
    <w:rsid w:val="0EBD2122"/>
    <w:rsid w:val="0ED6569B"/>
    <w:rsid w:val="0F214EAE"/>
    <w:rsid w:val="0FDA48C8"/>
    <w:rsid w:val="1045133B"/>
    <w:rsid w:val="10BD5A75"/>
    <w:rsid w:val="11B71E6A"/>
    <w:rsid w:val="11BB562D"/>
    <w:rsid w:val="122B4561"/>
    <w:rsid w:val="127A7E13"/>
    <w:rsid w:val="12F71083"/>
    <w:rsid w:val="13311FEB"/>
    <w:rsid w:val="13CA1B57"/>
    <w:rsid w:val="13D34EB0"/>
    <w:rsid w:val="14143273"/>
    <w:rsid w:val="1507258D"/>
    <w:rsid w:val="1514752E"/>
    <w:rsid w:val="168B2163"/>
    <w:rsid w:val="16B0772A"/>
    <w:rsid w:val="16F07B27"/>
    <w:rsid w:val="186E33F9"/>
    <w:rsid w:val="190D49C0"/>
    <w:rsid w:val="191C10A7"/>
    <w:rsid w:val="1AA36A47"/>
    <w:rsid w:val="1AAF0063"/>
    <w:rsid w:val="1ACB068F"/>
    <w:rsid w:val="1BE140DE"/>
    <w:rsid w:val="1C6360EC"/>
    <w:rsid w:val="1CE67A02"/>
    <w:rsid w:val="1D1B384D"/>
    <w:rsid w:val="1EBC2D41"/>
    <w:rsid w:val="1EE12B77"/>
    <w:rsid w:val="1EF8649C"/>
    <w:rsid w:val="1F9B3C55"/>
    <w:rsid w:val="1FA31BDA"/>
    <w:rsid w:val="21154D5A"/>
    <w:rsid w:val="219771C8"/>
    <w:rsid w:val="21F4496F"/>
    <w:rsid w:val="222C235B"/>
    <w:rsid w:val="22674E45"/>
    <w:rsid w:val="22C95DFC"/>
    <w:rsid w:val="23983A20"/>
    <w:rsid w:val="247955FF"/>
    <w:rsid w:val="248C197D"/>
    <w:rsid w:val="24C0322E"/>
    <w:rsid w:val="252959AF"/>
    <w:rsid w:val="25950217"/>
    <w:rsid w:val="2601765A"/>
    <w:rsid w:val="26DB1094"/>
    <w:rsid w:val="27167136"/>
    <w:rsid w:val="272F01F7"/>
    <w:rsid w:val="277A6671"/>
    <w:rsid w:val="27AC1848"/>
    <w:rsid w:val="27FA25B3"/>
    <w:rsid w:val="28201C28"/>
    <w:rsid w:val="290A15AE"/>
    <w:rsid w:val="29290A55"/>
    <w:rsid w:val="292D35B7"/>
    <w:rsid w:val="29D11A3A"/>
    <w:rsid w:val="2A246B9F"/>
    <w:rsid w:val="2AA10FA3"/>
    <w:rsid w:val="2AB729DE"/>
    <w:rsid w:val="2BA028FD"/>
    <w:rsid w:val="2CA70830"/>
    <w:rsid w:val="2D334EB3"/>
    <w:rsid w:val="2DEC6E42"/>
    <w:rsid w:val="2E127D0E"/>
    <w:rsid w:val="2E140B18"/>
    <w:rsid w:val="2E293DC7"/>
    <w:rsid w:val="2E3F3416"/>
    <w:rsid w:val="2E497DF1"/>
    <w:rsid w:val="2EDD70A0"/>
    <w:rsid w:val="2EDE0530"/>
    <w:rsid w:val="2FA31782"/>
    <w:rsid w:val="2FCA7487"/>
    <w:rsid w:val="301663F8"/>
    <w:rsid w:val="304C329A"/>
    <w:rsid w:val="316B2774"/>
    <w:rsid w:val="31F97D80"/>
    <w:rsid w:val="32877139"/>
    <w:rsid w:val="328A6C2A"/>
    <w:rsid w:val="33150BE9"/>
    <w:rsid w:val="338B7675"/>
    <w:rsid w:val="33C551F0"/>
    <w:rsid w:val="33EB6CFF"/>
    <w:rsid w:val="356E45E1"/>
    <w:rsid w:val="35A12947"/>
    <w:rsid w:val="35CA5CBB"/>
    <w:rsid w:val="366F23BE"/>
    <w:rsid w:val="37307DA0"/>
    <w:rsid w:val="37387040"/>
    <w:rsid w:val="39895B16"/>
    <w:rsid w:val="39BC3B6C"/>
    <w:rsid w:val="3AF64E5C"/>
    <w:rsid w:val="3B625C0A"/>
    <w:rsid w:val="3C4B742A"/>
    <w:rsid w:val="3C9A5CBB"/>
    <w:rsid w:val="3CEE1963"/>
    <w:rsid w:val="3CFC40FB"/>
    <w:rsid w:val="3D6D35B3"/>
    <w:rsid w:val="3E077380"/>
    <w:rsid w:val="3E800C1E"/>
    <w:rsid w:val="3F6C2C66"/>
    <w:rsid w:val="3F95142A"/>
    <w:rsid w:val="3FB452E6"/>
    <w:rsid w:val="40A0199D"/>
    <w:rsid w:val="40A749D4"/>
    <w:rsid w:val="414032D5"/>
    <w:rsid w:val="41566655"/>
    <w:rsid w:val="428B657D"/>
    <w:rsid w:val="42935686"/>
    <w:rsid w:val="4340580E"/>
    <w:rsid w:val="43947908"/>
    <w:rsid w:val="43CD6976"/>
    <w:rsid w:val="43DD44A7"/>
    <w:rsid w:val="43E9039C"/>
    <w:rsid w:val="453761C6"/>
    <w:rsid w:val="453F7F9F"/>
    <w:rsid w:val="45837C34"/>
    <w:rsid w:val="45CC3389"/>
    <w:rsid w:val="46973555"/>
    <w:rsid w:val="46A04EE6"/>
    <w:rsid w:val="478F7A25"/>
    <w:rsid w:val="489E2D6C"/>
    <w:rsid w:val="48F2603A"/>
    <w:rsid w:val="490E1F0B"/>
    <w:rsid w:val="49951AC7"/>
    <w:rsid w:val="4BC25E44"/>
    <w:rsid w:val="4C871DB8"/>
    <w:rsid w:val="4C983FC5"/>
    <w:rsid w:val="4C9C27FE"/>
    <w:rsid w:val="4CCC1EC1"/>
    <w:rsid w:val="4D07114B"/>
    <w:rsid w:val="4D1B4BF6"/>
    <w:rsid w:val="4D7F5185"/>
    <w:rsid w:val="4F0361B1"/>
    <w:rsid w:val="4F1A276A"/>
    <w:rsid w:val="4F2320A5"/>
    <w:rsid w:val="4FD33566"/>
    <w:rsid w:val="512260B4"/>
    <w:rsid w:val="521047DC"/>
    <w:rsid w:val="5256749B"/>
    <w:rsid w:val="52BD6ACB"/>
    <w:rsid w:val="534D122D"/>
    <w:rsid w:val="539B3538"/>
    <w:rsid w:val="53A05E55"/>
    <w:rsid w:val="53B3698A"/>
    <w:rsid w:val="545105A0"/>
    <w:rsid w:val="547215A0"/>
    <w:rsid w:val="553920BD"/>
    <w:rsid w:val="55537534"/>
    <w:rsid w:val="55B00AB8"/>
    <w:rsid w:val="55C657A8"/>
    <w:rsid w:val="55DA73FC"/>
    <w:rsid w:val="561A74F1"/>
    <w:rsid w:val="57503774"/>
    <w:rsid w:val="577608BD"/>
    <w:rsid w:val="580F7106"/>
    <w:rsid w:val="582B03E3"/>
    <w:rsid w:val="58521FFA"/>
    <w:rsid w:val="59080725"/>
    <w:rsid w:val="597244E8"/>
    <w:rsid w:val="59725B9E"/>
    <w:rsid w:val="59927FEE"/>
    <w:rsid w:val="59B30690"/>
    <w:rsid w:val="59D6437F"/>
    <w:rsid w:val="5AB0697E"/>
    <w:rsid w:val="5AD75FF7"/>
    <w:rsid w:val="5BA109BC"/>
    <w:rsid w:val="5CC42BB4"/>
    <w:rsid w:val="5D3715D8"/>
    <w:rsid w:val="5DA10A9E"/>
    <w:rsid w:val="5DC56BE4"/>
    <w:rsid w:val="5E6C7060"/>
    <w:rsid w:val="5EB71C30"/>
    <w:rsid w:val="5ED52E57"/>
    <w:rsid w:val="5F4B3119"/>
    <w:rsid w:val="60D35F92"/>
    <w:rsid w:val="60F63558"/>
    <w:rsid w:val="61EA3E09"/>
    <w:rsid w:val="625422E5"/>
    <w:rsid w:val="635C704E"/>
    <w:rsid w:val="646A2293"/>
    <w:rsid w:val="64F97173"/>
    <w:rsid w:val="658612D7"/>
    <w:rsid w:val="658C7ADD"/>
    <w:rsid w:val="66374CBF"/>
    <w:rsid w:val="66AF0CE5"/>
    <w:rsid w:val="66E8749F"/>
    <w:rsid w:val="67395F4D"/>
    <w:rsid w:val="675F3C06"/>
    <w:rsid w:val="67AC6270"/>
    <w:rsid w:val="67B101D9"/>
    <w:rsid w:val="68541290"/>
    <w:rsid w:val="688109F0"/>
    <w:rsid w:val="68ED1C56"/>
    <w:rsid w:val="698A2A90"/>
    <w:rsid w:val="6A211646"/>
    <w:rsid w:val="6A4C5F97"/>
    <w:rsid w:val="6AC537CF"/>
    <w:rsid w:val="6B2C49E2"/>
    <w:rsid w:val="6B3A0933"/>
    <w:rsid w:val="6C563981"/>
    <w:rsid w:val="6CE06E5E"/>
    <w:rsid w:val="6E5B14A6"/>
    <w:rsid w:val="6ED733EF"/>
    <w:rsid w:val="6EDE7B06"/>
    <w:rsid w:val="6EF410D7"/>
    <w:rsid w:val="702F1A94"/>
    <w:rsid w:val="704725EB"/>
    <w:rsid w:val="70A02B99"/>
    <w:rsid w:val="711B255E"/>
    <w:rsid w:val="72A526E9"/>
    <w:rsid w:val="73840550"/>
    <w:rsid w:val="74575C64"/>
    <w:rsid w:val="74706076"/>
    <w:rsid w:val="74C07B1D"/>
    <w:rsid w:val="74E77C8D"/>
    <w:rsid w:val="74FC5DA0"/>
    <w:rsid w:val="750556C0"/>
    <w:rsid w:val="7521699E"/>
    <w:rsid w:val="7556268A"/>
    <w:rsid w:val="767511C0"/>
    <w:rsid w:val="76984A3E"/>
    <w:rsid w:val="77362003"/>
    <w:rsid w:val="774F4314"/>
    <w:rsid w:val="795409C4"/>
    <w:rsid w:val="79635A83"/>
    <w:rsid w:val="79694470"/>
    <w:rsid w:val="7A412AB0"/>
    <w:rsid w:val="7A630C3D"/>
    <w:rsid w:val="7AA80AB2"/>
    <w:rsid w:val="7B242D44"/>
    <w:rsid w:val="7BB51E06"/>
    <w:rsid w:val="7BE81FC4"/>
    <w:rsid w:val="7BF205F3"/>
    <w:rsid w:val="7BFC781D"/>
    <w:rsid w:val="7C387F7C"/>
    <w:rsid w:val="7C570EF7"/>
    <w:rsid w:val="7CDB769B"/>
    <w:rsid w:val="7E5356EF"/>
    <w:rsid w:val="7EC02D84"/>
    <w:rsid w:val="7EC27B2B"/>
    <w:rsid w:val="7ECD724F"/>
    <w:rsid w:val="7F2F3A08"/>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Times New Roman"/>
      <w:b/>
      <w:kern w:val="0"/>
      <w:sz w:val="36"/>
      <w:szCs w:val="36"/>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Normal Indent"/>
    <w:basedOn w:val="1"/>
    <w:qFormat/>
    <w:uiPriority w:val="0"/>
    <w:pPr>
      <w:spacing w:line="360" w:lineRule="auto"/>
      <w:ind w:firstLine="420" w:firstLineChars="200"/>
    </w:pPr>
    <w:rPr>
      <w:rFonts w:eastAsia="仿宋_GB2312"/>
      <w:sz w:val="2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customStyle="1" w:styleId="8">
    <w:name w:val="NormalCharacter"/>
    <w:qFormat/>
    <w:uiPriority w:val="0"/>
  </w:style>
  <w:style w:type="paragraph" w:customStyle="1" w:styleId="9">
    <w:name w:val="p0"/>
    <w:basedOn w:val="1"/>
    <w:qFormat/>
    <w:uiPriority w:val="0"/>
    <w:pPr>
      <w:widowControl/>
    </w:pPr>
    <w:rPr>
      <w:rFonts w:ascii="Times New Roman" w:hAnsi="Times New Roman" w:eastAsia="宋体" w:cs="Times New Roman"/>
      <w:kern w:val="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6</TotalTime>
  <ScaleCrop>false</ScaleCrop>
  <LinksUpToDate>false</LinksUpToDate>
  <CharactersWithSpaces>0</CharactersWithSpaces>
  <Application>WPS Office_11.1.0.11405_F1E327BC-269C-435d-A152-05C5408002CA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晴空万里</cp:lastModifiedBy>
  <cp:lastPrinted>2022-01-19T07:24:00Z</cp:lastPrinted>
  <dcterms:modified xsi:type="dcterms:W3CDTF">2022-03-30T02:07:29Z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2052-11.1.0.11405</vt:lpwstr>
  </property>
  <property fmtid="{D5CDD505-2E9C-101B-9397-08002B2CF9AE}" pid="3" name="ICV">
    <vt:lpwstr>265808F19ED54033A0D9614F2CB98348</vt:lpwstr>
  </property>
</Properties>
</file>