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ascii="仿宋_GB2312" w:eastAsia="仿宋_GB2312"/>
          <w:sz w:val="32"/>
          <w:szCs w:val="32"/>
        </w:rPr>
      </w:pPr>
      <w:r>
        <w:rPr>
          <w:rFonts w:hint="eastAsia" w:ascii="仿宋_GB2312" w:eastAsia="仿宋_GB2312"/>
          <w:sz w:val="32"/>
          <w:szCs w:val="32"/>
        </w:rPr>
        <w:t>附件</w:t>
      </w:r>
      <w:r>
        <w:rPr>
          <w:rFonts w:hint="eastAsia" w:ascii="仿宋_GB2312" w:eastAsia="仿宋_GB2312"/>
          <w:sz w:val="32"/>
          <w:szCs w:val="32"/>
          <w:lang w:val="en-US" w:eastAsia="zh-CN"/>
        </w:rPr>
        <w:t>4</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石家庄市第</w:t>
      </w:r>
      <w:r>
        <w:rPr>
          <w:rFonts w:hint="eastAsia" w:ascii="宋体" w:hAnsi="宋体" w:cs="宋体"/>
          <w:b/>
          <w:bCs/>
          <w:sz w:val="44"/>
          <w:szCs w:val="44"/>
          <w:lang w:val="en-US" w:eastAsia="zh-CN"/>
        </w:rPr>
        <w:t>一</w:t>
      </w:r>
      <w:r>
        <w:rPr>
          <w:rFonts w:hint="eastAsia" w:ascii="宋体" w:hAnsi="宋体" w:cs="宋体"/>
          <w:b/>
          <w:bCs/>
          <w:sz w:val="44"/>
          <w:szCs w:val="44"/>
          <w:lang w:eastAsia="zh-CN"/>
        </w:rPr>
        <w:t>看守所</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2021年度整体支出绩效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石家庄市第一看守所2021年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wordWrap/>
        <w:adjustRightInd w:val="0"/>
        <w:snapToGrid w:val="0"/>
        <w:spacing w:line="560" w:lineRule="exact"/>
        <w:ind w:left="0" w:leftChars="0" w:right="0" w:firstLine="643" w:firstLineChars="200"/>
        <w:textAlignment w:val="auto"/>
        <w:outlineLvl w:val="9"/>
        <w:rPr>
          <w:rFonts w:ascii="楷体_GB2312" w:hAnsi="仿宋" w:eastAsia="楷体_GB2312"/>
          <w:color w:val="1E1C11" w:themeColor="background2" w:themeShade="1A"/>
          <w:sz w:val="24"/>
        </w:rPr>
      </w:pPr>
      <w:r>
        <w:rPr>
          <w:rFonts w:hint="eastAsia" w:ascii="仿宋" w:hAnsi="仿宋" w:eastAsia="仿宋"/>
          <w:sz w:val="32"/>
          <w:szCs w:val="32"/>
          <w:lang w:eastAsia="zh-CN"/>
        </w:rPr>
        <w:t>依法对羁押人犯实行武装看守，保障安全；负责对羁押人犯的法治教育、管理和转化工作；保障侦查、起诉和审判工作的顺利进行。负责收押市公安局和桥东分局、桥西分局、裕华分局、高新技术产业开发区分局、卫建分局（民心广场分局）等押送的人犯。</w:t>
      </w:r>
      <w:r>
        <w:rPr>
          <w:rFonts w:hint="eastAsia" w:ascii="仿宋" w:hAnsi="仿宋" w:eastAsia="仿宋"/>
          <w:sz w:val="32"/>
          <w:szCs w:val="32"/>
          <w:lang w:val="en-US" w:eastAsia="zh-CN"/>
        </w:rPr>
        <w:t>内设机构1个（正科级）。</w:t>
      </w:r>
      <w:r>
        <w:rPr>
          <w:rFonts w:hint="eastAsia" w:ascii="仿宋" w:hAnsi="仿宋" w:eastAsia="仿宋" w:cs="仿宋"/>
          <w:color w:val="1E1C11" w:themeColor="background2" w:themeShade="1A"/>
          <w:sz w:val="32"/>
          <w:szCs w:val="32"/>
        </w:rPr>
        <w:t>年末实有人数</w:t>
      </w:r>
      <w:r>
        <w:rPr>
          <w:rFonts w:hint="eastAsia" w:ascii="仿宋" w:hAnsi="仿宋" w:eastAsia="仿宋" w:cs="仿宋"/>
          <w:color w:val="1E1C11" w:themeColor="background2" w:themeShade="1A"/>
          <w:sz w:val="32"/>
          <w:szCs w:val="32"/>
          <w:lang w:val="en-US" w:eastAsia="zh-CN"/>
        </w:rPr>
        <w:t>114</w:t>
      </w:r>
      <w:r>
        <w:rPr>
          <w:rFonts w:hint="eastAsia" w:ascii="仿宋" w:hAnsi="仿宋" w:eastAsia="仿宋" w:cs="仿宋"/>
          <w:color w:val="1E1C11" w:themeColor="background2" w:themeShade="1A"/>
          <w:sz w:val="32"/>
          <w:szCs w:val="32"/>
        </w:rPr>
        <w:t>人，其中在职人员</w:t>
      </w:r>
      <w:r>
        <w:rPr>
          <w:rFonts w:hint="eastAsia" w:ascii="仿宋" w:hAnsi="仿宋" w:eastAsia="仿宋" w:cs="仿宋"/>
          <w:color w:val="1E1C11" w:themeColor="background2" w:themeShade="1A"/>
          <w:sz w:val="32"/>
          <w:szCs w:val="32"/>
          <w:lang w:val="en-US" w:eastAsia="zh-CN"/>
        </w:rPr>
        <w:t>74</w:t>
      </w:r>
      <w:r>
        <w:rPr>
          <w:rFonts w:hint="eastAsia" w:ascii="仿宋" w:hAnsi="仿宋" w:eastAsia="仿宋" w:cs="仿宋"/>
          <w:color w:val="1E1C11" w:themeColor="background2" w:themeShade="1A"/>
          <w:sz w:val="32"/>
          <w:szCs w:val="32"/>
        </w:rPr>
        <w:t>人，退休人员</w:t>
      </w:r>
      <w:r>
        <w:rPr>
          <w:rFonts w:hint="eastAsia" w:ascii="仿宋" w:hAnsi="仿宋" w:eastAsia="仿宋" w:cs="仿宋"/>
          <w:color w:val="1E1C11" w:themeColor="background2" w:themeShade="1A"/>
          <w:sz w:val="32"/>
          <w:szCs w:val="32"/>
          <w:lang w:val="en-US" w:eastAsia="zh-CN"/>
        </w:rPr>
        <w:t>40</w:t>
      </w:r>
      <w:r>
        <w:rPr>
          <w:rFonts w:hint="eastAsia" w:ascii="仿宋" w:hAnsi="仿宋" w:eastAsia="仿宋" w:cs="仿宋"/>
          <w:color w:val="1E1C11" w:themeColor="background2" w:themeShade="1A"/>
          <w:sz w:val="32"/>
          <w:szCs w:val="32"/>
        </w:rPr>
        <w:t>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截止2021年12月底，本单位现有固定资产总额</w:t>
      </w:r>
      <w:r>
        <w:rPr>
          <w:rFonts w:hint="eastAsia" w:ascii="仿宋" w:hAnsi="仿宋" w:eastAsia="仿宋"/>
          <w:color w:val="auto"/>
          <w:sz w:val="32"/>
          <w:szCs w:val="32"/>
          <w:lang w:val="en-US" w:eastAsia="zh-CN"/>
        </w:rPr>
        <w:t>为9896.81万元。</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widowControl w:val="0"/>
        <w:numPr>
          <w:ilvl w:val="0"/>
          <w:numId w:val="0"/>
        </w:numPr>
        <w:wordWrap/>
        <w:adjustRightInd w:val="0"/>
        <w:snapToGrid w:val="0"/>
        <w:spacing w:line="560" w:lineRule="exact"/>
        <w:ind w:leftChars="200" w:right="0" w:rightChars="0"/>
        <w:textAlignment w:val="auto"/>
        <w:outlineLvl w:val="9"/>
        <w:rPr>
          <w:rFonts w:hint="eastAsia" w:ascii="仿宋" w:hAnsi="仿宋" w:eastAsia="仿宋"/>
          <w:sz w:val="32"/>
          <w:szCs w:val="32"/>
          <w:lang w:val="en-US" w:eastAsia="zh-CN"/>
        </w:rPr>
      </w:pPr>
      <w:r>
        <w:rPr>
          <w:rFonts w:hint="eastAsia" w:ascii="仿宋" w:hAnsi="仿宋" w:eastAsia="仿宋" w:cs="楷体_GB2312"/>
          <w:b/>
          <w:bCs/>
          <w:sz w:val="32"/>
          <w:szCs w:val="32"/>
          <w:lang w:val="en-US" w:eastAsia="zh-CN"/>
        </w:rPr>
        <w:t xml:space="preserve">  </w:t>
      </w:r>
      <w:r>
        <w:rPr>
          <w:rFonts w:hint="eastAsia" w:ascii="仿宋" w:hAnsi="仿宋" w:eastAsia="仿宋"/>
          <w:sz w:val="32"/>
          <w:szCs w:val="32"/>
          <w:lang w:val="en-US" w:eastAsia="zh-CN"/>
        </w:rPr>
        <w:t>本年年初预算安排收入、支出为5149.82万元，较上年增</w:t>
      </w:r>
    </w:p>
    <w:p>
      <w:pPr>
        <w:widowControl w:val="0"/>
        <w:numPr>
          <w:ilvl w:val="0"/>
          <w:numId w:val="0"/>
        </w:numPr>
        <w:wordWrap/>
        <w:adjustRightInd w:val="0"/>
        <w:snapToGrid w:val="0"/>
        <w:spacing w:line="560" w:lineRule="exact"/>
        <w:ind w:right="0" w:rightChars="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加1210.53万元，增长23.51%，主要原因为增加一次性项目。</w:t>
      </w:r>
    </w:p>
    <w:p>
      <w:pPr>
        <w:widowControl w:val="0"/>
        <w:numPr>
          <w:ilvl w:val="0"/>
          <w:numId w:val="0"/>
        </w:numPr>
        <w:wordWrap/>
        <w:adjustRightInd w:val="0"/>
        <w:snapToGrid w:val="0"/>
        <w:spacing w:line="560" w:lineRule="exact"/>
        <w:ind w:right="0" w:rightChars="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本年收入4923.2万元，较上年增长542.95万元，增幅11.03%，其中财政拨款收入4818.84万元，较上年增长512.74万元，增长10.65%，其他收入104.36万元，较上年增长4.61万元，增长4.62%。</w:t>
      </w:r>
    </w:p>
    <w:p>
      <w:pPr>
        <w:widowControl w:val="0"/>
        <w:numPr>
          <w:ilvl w:val="0"/>
          <w:numId w:val="0"/>
        </w:numPr>
        <w:wordWrap/>
        <w:adjustRightInd w:val="0"/>
        <w:snapToGrid w:val="0"/>
        <w:spacing w:line="560" w:lineRule="exact"/>
        <w:ind w:right="0" w:rightChars="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本年支出4866.86万元，较上年增长454.39万元，增长9.33%，其中财政拨款支出4818.84万元，较上年增长535.18万元，增长12.49%。</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一、总体绩效目标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2021年，以深入学习宣传贯彻党的十九大精神为主线，以习近平新时代中国特色社会主义思想为统领，认真落实上级重点部署，按照高质量发展的要求，深化绩效预算管理改革；依据国家法律对被羁押的人员实行武装警戒看守，保障安全；对在押人员进行教育；管理在押人员的生活和卫生；保障侦查、起诉和审判工作的顺利进行；在新时代条件建设下，加强看守所全面建设。</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二、分项绩效目标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2021年，我所将继续全面贯彻落实党的十九大精神，坚持以习近平新时代中国特色社会主义思想为指导，紧随市局党委的要求部署，大力提升看守所正规化专业化职业化水平，奋力开创新时代省会看守所工作新局面。重点抓好以下四方面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（一）羁押依法被刑事拘留、逮捕的犯罪嫌疑人、被告人</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在押人员给养费项目重点是对年均羁押1700名人员，按照要求实施伙食供给、管理、教育、心理咨询等，保障被羁押人员一日生活正常有序开展，保障刑事诉讼活动顺利进行；对被执刑罪犯押解投劳，保障安全投送监狱执行刑罚。</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（二）依法保障被羁押人员的医疗卫生</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做好新入所人员体检，做好被羁押人员的日常体检、疾病治疗、卫生防疫等；公安监管医院经费主要是对患艾滋病、结核病、肝炎、性病等传染性疾病的在押病员进行隔离及治疗等，确保不发生重大传染病疫情，确保在押人员患病及时医治。</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（三）依据标准加强看守所基础设施建设、维修</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根据公安部制定的有关看守所建设标准及场所警戒装备的配备要求，健全、完善场所基础设施，提高技术装备水平，不断加强技防建设，提高监控、警报、通讯、指挥、单警、警械以及车辆、医疗设备的配备水平。确保基础建设安全可靠、功能齐全、设施完善，各种装备正常使用，并在符合环保节能的要求下，进一步改善看守所环境，确保安全有序运转，建设现代化的文明看守所。</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（四）实施综合管理，维持场所良好运转</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保障在押人员档案、资料、影像完备；保障食堂、宿舍管理规范；保障回访调查、突发事件处置、宣传 奖励、警体训练，保障关键要害岗位工人的培训、使用、管理及其他工作需要；保障机关事务运行、民警教育培训，提高民警执法执纪能力和水平。</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widowControl w:val="0"/>
        <w:wordWrap/>
        <w:spacing w:line="560" w:lineRule="exact"/>
        <w:ind w:left="0" w:leftChars="0" w:right="0"/>
        <w:textAlignment w:val="auto"/>
        <w:outlineLvl w:val="9"/>
        <w:rPr>
          <w:rFonts w:ascii="仿宋" w:hAnsi="仿宋" w:eastAsia="仿宋"/>
          <w:sz w:val="32"/>
          <w:szCs w:val="32"/>
        </w:rPr>
      </w:pPr>
      <w:r>
        <w:rPr>
          <w:rFonts w:hint="eastAsia" w:ascii="仿宋" w:hAnsi="仿宋" w:eastAsia="仿宋"/>
          <w:sz w:val="32"/>
          <w:szCs w:val="32"/>
        </w:rPr>
        <w:t xml:space="preserve">    绩效自评过程中，本单位本着实事求是、严格管理的原则，首先成立了所长谭杰臣、政委刘占峰任组长，技术装备科科长卢军任副组长的绩效自评工作小组，小组下设办公室，办公室设在技术装备科，技术装备科副科长周福正为成员。自评过程中，每位组员严格按照年初预算确定的项目绩效目标和绩效指标，逐项进行对比分析，得出此次自评结果。</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keepNext w:val="0"/>
        <w:keepLines w:val="0"/>
        <w:pageBreakBefore w:val="0"/>
        <w:widowControl w:val="0"/>
        <w:numPr>
          <w:ilvl w:val="0"/>
          <w:numId w:val="3"/>
        </w:numPr>
        <w:kinsoku/>
        <w:wordWrap/>
        <w:overflowPunct/>
        <w:topLinePunct w:val="0"/>
        <w:autoSpaceDE/>
        <w:autoSpaceDN/>
        <w:bidi w:val="0"/>
        <w:spacing w:line="560" w:lineRule="exact"/>
        <w:ind w:left="642" w:leftChars="0" w:right="0" w:rightChars="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评价方法</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采取定量分析与定性分析相结合，运用因素分析法、比较法、现场核查法、访谈法等基本方法开展评价工作。</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（1）因素分析法。通过列举分析影响绩效目标实现、实施效果的内外因素，评价绩效目标实现程度。</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（2）比较法。通过对项目当期实际产生的项目效益结果与预期目标进行分析对比和定性分析、定量分析，分析完成目标的因素，从而评价财政支出绩效。</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（3）现场核查法。现场对项目进行核实，实事求是检查其财务情况和绩效表现等相关资料。</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（4）访谈法。通过与相关人员进行面谈，针对项目的不同特点和关键问题，直接听取项目管理者、实施人员的意见。</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2、评价过程</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本次绩效评价工作过程包括前期准备、组织实施、撰写评价报告三个阶段。</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（1）前期准备</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首先与项目负责人沟通，明确绩效评价的内容和范围。二是召开座谈会，对相关工作进行反复讨论并广泛征求意见。三是收集财务资料、部门职责、项目管理、相关管理制度、资金使用等相关资料，为实施评价工作奠定了基础。</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（2）组织实施</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评价工作小组对涉及该项目绩效目标的相关佐证材料进行收集和梳理。首先对相关资料进行查阅并进行分析、核实，确保提供的数据和资料真实、全面、可靠。其次，将项目资料按照评价体系指标分类，形成资料清单。再次，逐一梳理个文件内容，将问题以批注形式予以说明，同时梳理资料过程中将项目资料依照资料清单顺序编排好。最后，在于相关人员沟通过程中，在与相关人员沟通过程中，直接对照资料清单核实，确保项目各项信息准确。在自评过程中，广泛征求意见，进一步完善项目绩效评价方案。小组成员根据收集的数据、资料进行核对、比较、计算，对项目的实施进行评分。</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jc w:val="both"/>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（3）撰写绩效评价报告</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jc w:val="both"/>
        <w:textAlignment w:val="auto"/>
        <w:outlineLvl w:val="9"/>
        <w:rPr>
          <w:rFonts w:hint="eastAsia" w:ascii="仿宋" w:hAnsi="仿宋" w:eastAsia="仿宋" w:cs="楷体_GB2312"/>
          <w:b/>
          <w:bCs/>
          <w:sz w:val="32"/>
          <w:szCs w:val="32"/>
        </w:rPr>
      </w:pPr>
      <w:r>
        <w:rPr>
          <w:rFonts w:hint="eastAsia" w:ascii="仿宋" w:hAnsi="仿宋" w:eastAsia="仿宋" w:cs="楷体_GB2312"/>
          <w:b w:val="0"/>
          <w:bCs w:val="0"/>
          <w:sz w:val="32"/>
          <w:szCs w:val="32"/>
          <w:lang w:val="en-US" w:eastAsia="zh-CN"/>
        </w:rPr>
        <w:t>根据项目评价结果，撰写绩效评价报告，并形成绩效评价档案。</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4"/>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widowControl w:val="0"/>
        <w:numPr>
          <w:ilvl w:val="0"/>
          <w:numId w:val="5"/>
        </w:numPr>
        <w:tabs>
          <w:tab w:val="left" w:pos="312"/>
        </w:tabs>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概述项目绩效目标完成情况。</w:t>
      </w:r>
    </w:p>
    <w:p>
      <w:pPr>
        <w:widowControl w:val="0"/>
        <w:numPr>
          <w:ilvl w:val="0"/>
          <w:numId w:val="0"/>
        </w:numPr>
        <w:tabs>
          <w:tab w:val="clear" w:pos="312"/>
        </w:tabs>
        <w:wordWrap/>
        <w:spacing w:line="560" w:lineRule="exact"/>
        <w:ind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保障在押人员羁押期间的安全，对在押人员进行教育，管理在押人员的日常生活和卫生，保障侦查、起诉和审判工作的顺利进行，保障在押人员的合法权益；依法收押、羁押犯罪嫌疑人、被告人、罪犯；确保其伙食、医疗、被服、杂支、日用品等生活需要；开展文化、法律法规教育；管理在押人员财物；提解、警戒、看守、押解，执行刑罚，达到预期目标。</w:t>
      </w:r>
    </w:p>
    <w:p>
      <w:pPr>
        <w:widowControl w:val="0"/>
        <w:numPr>
          <w:ilvl w:val="0"/>
          <w:numId w:val="0"/>
        </w:numPr>
        <w:tabs>
          <w:tab w:val="clear" w:pos="312"/>
        </w:tabs>
        <w:wordWrap/>
        <w:spacing w:line="560" w:lineRule="exact"/>
        <w:ind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2.本单位整体支出绩效指标实现情况。</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val="en-US" w:eastAsia="zh-CN"/>
        </w:rPr>
        <w:t>按预算支出进度完成各项支出。</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在押人员给养费872.24万元全部支出，用于在押人员伙食费、医疗费、衣被费、公杂费等。</w:t>
      </w:r>
    </w:p>
    <w:p>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大院运行经费225.27万元全部支出完成，其中主要用于监所水费、电费、取暖费。</w:t>
      </w:r>
    </w:p>
    <w:p>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辅警服装购置经费8万元，按照实际支付金额7.87万元，剩余0.13万元年底已交回财政；此项目主要用于辅警服装购置。</w:t>
      </w:r>
    </w:p>
    <w:p>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绿化维护项目经费50万元，按照决算评审金额支出49.83万元，剩余0.17万元年底已交回财政；此项目主要用于院内绿植维护。</w:t>
      </w:r>
    </w:p>
    <w:p>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园林式看守所建设经费33.2万元，按照决算评审金额支出32.29万元，剩余0.91万元年底已交回财政；主要用于</w:t>
      </w:r>
      <w:r>
        <w:rPr>
          <w:rFonts w:hint="eastAsia" w:ascii="仿宋" w:hAnsi="仿宋" w:eastAsia="仿宋" w:cs="仿宋"/>
          <w:sz w:val="32"/>
          <w:szCs w:val="32"/>
          <w:lang w:val="en-US" w:eastAsia="zh-CN"/>
        </w:rPr>
        <w:t>单位内绿植的维护和栽种、修剪等，推进园林式看守所建设</w:t>
      </w:r>
    </w:p>
    <w:p>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大院基础设施维修维护经费195.01万元，按照决算评审金额支出182万元，剩余13.01万元年底已交回财政；主要用于院内设施维修维护。</w:t>
      </w:r>
    </w:p>
    <w:p>
      <w:pPr>
        <w:keepNext w:val="0"/>
        <w:keepLines w:val="0"/>
        <w:widowControl/>
        <w:suppressLineNumbers w:val="0"/>
        <w:ind w:firstLine="640"/>
        <w:jc w:val="left"/>
        <w:rPr>
          <w:rFonts w:hint="eastAsia" w:ascii="仿宋" w:hAnsi="仿宋" w:eastAsia="仿宋"/>
          <w:sz w:val="32"/>
          <w:szCs w:val="32"/>
          <w:lang w:val="en-US" w:eastAsia="zh-CN"/>
        </w:rPr>
      </w:pPr>
      <w:r>
        <w:rPr>
          <w:rFonts w:hint="eastAsia" w:ascii="仿宋" w:hAnsi="仿宋" w:eastAsia="仿宋"/>
          <w:sz w:val="32"/>
          <w:szCs w:val="32"/>
          <w:lang w:val="en-US" w:eastAsia="zh-CN"/>
        </w:rPr>
        <w:t>基础附属设施修缮经费183.49万元，按照决算评审金额支出167.99万元，剩余15.5万元年底已交回财政；主要用于院内设施维修维护。</w:t>
      </w:r>
    </w:p>
    <w:p>
      <w:pPr>
        <w:keepNext w:val="0"/>
        <w:keepLines w:val="0"/>
        <w:widowControl/>
        <w:suppressLineNumbers w:val="0"/>
        <w:ind w:firstLine="640"/>
        <w:jc w:val="left"/>
        <w:rPr>
          <w:rFonts w:hint="eastAsia" w:ascii="仿宋" w:hAnsi="仿宋" w:eastAsia="仿宋"/>
          <w:sz w:val="32"/>
          <w:szCs w:val="32"/>
          <w:lang w:val="en-US" w:eastAsia="zh-CN"/>
        </w:rPr>
      </w:pPr>
      <w:r>
        <w:rPr>
          <w:rFonts w:hint="eastAsia" w:ascii="仿宋" w:hAnsi="仿宋" w:eastAsia="仿宋"/>
          <w:sz w:val="32"/>
          <w:szCs w:val="32"/>
          <w:lang w:val="en-US" w:eastAsia="zh-CN"/>
        </w:rPr>
        <w:t>主办公楼维修改造经费179.71万元，按照决算评审金额支出166.95万元，剩余12.76万元年底已交回财政；主要用于办公楼的维修改造。</w:t>
      </w:r>
    </w:p>
    <w:p>
      <w:pPr>
        <w:keepNext w:val="0"/>
        <w:keepLines w:val="0"/>
        <w:widowControl/>
        <w:suppressLineNumbers w:val="0"/>
        <w:ind w:firstLine="640"/>
        <w:jc w:val="left"/>
        <w:rPr>
          <w:rFonts w:hint="eastAsia" w:ascii="仿宋" w:hAnsi="仿宋" w:eastAsia="仿宋"/>
          <w:sz w:val="32"/>
          <w:szCs w:val="32"/>
          <w:lang w:val="en-US" w:eastAsia="zh-CN"/>
        </w:rPr>
      </w:pPr>
      <w:r>
        <w:rPr>
          <w:rFonts w:hint="eastAsia" w:ascii="仿宋" w:hAnsi="仿宋" w:eastAsia="仿宋"/>
          <w:sz w:val="32"/>
          <w:szCs w:val="32"/>
          <w:lang w:val="en-US" w:eastAsia="zh-CN"/>
        </w:rPr>
        <w:t>备勤室维修改造经费105.82万元全部支出完成，主要用于备勤室维修改造工程。</w:t>
      </w:r>
    </w:p>
    <w:p>
      <w:pPr>
        <w:keepNext w:val="0"/>
        <w:keepLines w:val="0"/>
        <w:widowControl/>
        <w:suppressLineNumbers w:val="0"/>
        <w:ind w:firstLine="640"/>
        <w:jc w:val="left"/>
        <w:rPr>
          <w:rFonts w:hint="eastAsia" w:ascii="仿宋" w:hAnsi="仿宋" w:eastAsia="仿宋"/>
          <w:sz w:val="32"/>
          <w:szCs w:val="32"/>
          <w:lang w:val="en-US" w:eastAsia="zh-CN"/>
        </w:rPr>
      </w:pPr>
      <w:r>
        <w:rPr>
          <w:rFonts w:hint="eastAsia" w:ascii="仿宋" w:hAnsi="仿宋" w:eastAsia="仿宋"/>
          <w:sz w:val="32"/>
          <w:szCs w:val="32"/>
          <w:lang w:val="en-US" w:eastAsia="zh-CN"/>
        </w:rPr>
        <w:t>红外线测温仪5.2万元全部支出完成，购买红外线测温仪2台，用于疫情防疫测温。</w:t>
      </w:r>
    </w:p>
    <w:p>
      <w:pPr>
        <w:keepNext w:val="0"/>
        <w:keepLines w:val="0"/>
        <w:widowControl/>
        <w:suppressLineNumbers w:val="0"/>
        <w:ind w:firstLine="640"/>
        <w:jc w:val="left"/>
        <w:rPr>
          <w:rFonts w:hint="eastAsia" w:ascii="仿宋" w:hAnsi="仿宋" w:eastAsia="仿宋"/>
          <w:sz w:val="32"/>
          <w:szCs w:val="32"/>
          <w:lang w:val="en-US" w:eastAsia="zh-CN"/>
        </w:rPr>
      </w:pPr>
      <w:r>
        <w:rPr>
          <w:rFonts w:hint="eastAsia" w:ascii="仿宋" w:hAnsi="仿宋" w:eastAsia="仿宋"/>
          <w:sz w:val="32"/>
          <w:szCs w:val="32"/>
          <w:lang w:val="en-US" w:eastAsia="zh-CN"/>
        </w:rPr>
        <w:t>执法执勤车辆购置经费118.53万元全部支出完成，主要用于购置新车，保障日常工作的正常开展。</w:t>
      </w:r>
    </w:p>
    <w:p>
      <w:pPr>
        <w:keepNext w:val="0"/>
        <w:keepLines w:val="0"/>
        <w:widowControl/>
        <w:suppressLineNumbers w:val="0"/>
        <w:ind w:firstLine="640"/>
        <w:jc w:val="left"/>
        <w:rPr>
          <w:rFonts w:hint="eastAsia" w:ascii="仿宋" w:hAnsi="仿宋" w:eastAsia="仿宋"/>
          <w:sz w:val="32"/>
          <w:szCs w:val="32"/>
          <w:lang w:val="en-US" w:eastAsia="zh-CN"/>
        </w:rPr>
      </w:pPr>
      <w:r>
        <w:rPr>
          <w:rFonts w:hint="eastAsia" w:ascii="仿宋" w:hAnsi="仿宋" w:eastAsia="仿宋"/>
          <w:sz w:val="32"/>
          <w:szCs w:val="32"/>
          <w:lang w:val="en-US" w:eastAsia="zh-CN"/>
        </w:rPr>
        <w:t>设备采购经费217.44万元，按照实际支出金额128.17万元，结转至2022年80.5万元，剩余8.77万元年底已交回财政；主要用于购置单位所需办公设备，提高办公效率，更好的开展工作。</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highlight w:val="none"/>
          <w:lang w:val="en-US" w:eastAsia="zh-CN"/>
        </w:rPr>
        <w:t>根据项目执行情况和项目绩效情况，2021</w:t>
      </w:r>
      <w:r>
        <w:rPr>
          <w:rFonts w:hint="eastAsia" w:ascii="仿宋" w:hAnsi="仿宋" w:eastAsia="仿宋"/>
          <w:sz w:val="32"/>
          <w:szCs w:val="32"/>
          <w:highlight w:val="none"/>
        </w:rPr>
        <w:t>年度项目</w:t>
      </w:r>
      <w:r>
        <w:rPr>
          <w:rFonts w:hint="eastAsia" w:ascii="仿宋" w:hAnsi="仿宋" w:eastAsia="仿宋"/>
          <w:sz w:val="32"/>
          <w:szCs w:val="32"/>
          <w:highlight w:val="none"/>
          <w:lang w:eastAsia="zh-CN"/>
        </w:rPr>
        <w:t>基本支出完成</w:t>
      </w:r>
      <w:r>
        <w:rPr>
          <w:rFonts w:hint="eastAsia" w:ascii="仿宋" w:hAnsi="仿宋" w:eastAsia="仿宋"/>
          <w:sz w:val="32"/>
          <w:szCs w:val="32"/>
          <w:highlight w:val="none"/>
        </w:rPr>
        <w:t>，项目综合绩效评价为优秀。</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widowControl w:val="0"/>
        <w:wordWrap/>
        <w:spacing w:line="560" w:lineRule="exact"/>
        <w:ind w:left="0" w:leftChars="0" w:right="0" w:firstLine="640" w:firstLineChars="200"/>
        <w:textAlignment w:val="auto"/>
        <w:outlineLvl w:val="9"/>
        <w:rPr>
          <w:rFonts w:hint="eastAsia" w:ascii="仿宋" w:hAnsi="仿宋" w:eastAsia="仿宋"/>
          <w:b/>
          <w:bCs/>
          <w:sz w:val="32"/>
          <w:szCs w:val="32"/>
        </w:rPr>
      </w:pPr>
      <w:r>
        <w:rPr>
          <w:rFonts w:hint="eastAsia" w:ascii="仿宋" w:hAnsi="仿宋" w:eastAsia="仿宋"/>
          <w:sz w:val="32"/>
          <w:szCs w:val="32"/>
          <w:highlight w:val="none"/>
          <w:lang w:val="en-US" w:eastAsia="zh-CN"/>
        </w:rPr>
        <w:t>根据项目执行情况和项目绩效，2021年度项目经费按照年初预算基本支出完成，主要是合理应用资金。</w:t>
      </w:r>
    </w:p>
    <w:p>
      <w:pPr>
        <w:widowControl w:val="0"/>
        <w:numPr>
          <w:ilvl w:val="0"/>
          <w:numId w:val="6"/>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widowControl w:val="0"/>
        <w:numPr>
          <w:ilvl w:val="0"/>
          <w:numId w:val="0"/>
        </w:numPr>
        <w:tabs>
          <w:tab w:val="clear" w:pos="312"/>
        </w:tabs>
        <w:wordWrap/>
        <w:spacing w:line="560" w:lineRule="exact"/>
        <w:ind w:leftChars="200" w:right="0" w:rightChars="0"/>
        <w:textAlignment w:val="auto"/>
        <w:outlineLvl w:val="9"/>
        <w:rPr>
          <w:rFonts w:hint="eastAsia" w:ascii="仿宋_GB2312" w:eastAsia="仿宋_GB2312"/>
          <w:color w:val="000000" w:themeColor="text1" w:themeShade="80"/>
          <w:sz w:val="32"/>
          <w:szCs w:val="32"/>
        </w:rPr>
      </w:pPr>
      <w:r>
        <w:rPr>
          <w:rFonts w:hint="eastAsia" w:ascii="仿宋" w:hAnsi="仿宋" w:eastAsia="仿宋"/>
          <w:b/>
          <w:bCs/>
          <w:sz w:val="32"/>
          <w:szCs w:val="32"/>
          <w:lang w:val="en-US" w:eastAsia="zh-CN"/>
        </w:rPr>
        <w:t xml:space="preserve">  </w:t>
      </w:r>
      <w:r>
        <w:rPr>
          <w:rFonts w:hint="eastAsia" w:ascii="仿宋_GB2312" w:eastAsia="仿宋_GB2312"/>
          <w:color w:val="000000" w:themeColor="text1" w:themeShade="80"/>
          <w:sz w:val="32"/>
          <w:szCs w:val="32"/>
        </w:rPr>
        <w:t>在今后的预算编制工作中，将根据</w:t>
      </w:r>
      <w:r>
        <w:rPr>
          <w:rFonts w:hint="eastAsia" w:ascii="仿宋_GB2312" w:eastAsia="仿宋_GB2312"/>
          <w:color w:val="000000" w:themeColor="text1" w:themeShade="80"/>
          <w:sz w:val="32"/>
          <w:szCs w:val="32"/>
          <w:lang w:eastAsia="zh-CN"/>
        </w:rPr>
        <w:t>年初</w:t>
      </w:r>
      <w:r>
        <w:rPr>
          <w:rFonts w:hint="eastAsia" w:ascii="仿宋_GB2312" w:eastAsia="仿宋_GB2312"/>
          <w:color w:val="000000" w:themeColor="text1" w:themeShade="80"/>
          <w:sz w:val="32"/>
          <w:szCs w:val="32"/>
        </w:rPr>
        <w:t>预算执行情况合理</w:t>
      </w:r>
      <w:r>
        <w:rPr>
          <w:rFonts w:hint="eastAsia" w:ascii="仿宋_GB2312" w:eastAsia="仿宋_GB2312"/>
          <w:color w:val="000000" w:themeColor="text1" w:themeShade="80"/>
          <w:sz w:val="32"/>
          <w:szCs w:val="32"/>
          <w:lang w:eastAsia="zh-CN"/>
        </w:rPr>
        <w:t>安排</w:t>
      </w:r>
      <w:r>
        <w:rPr>
          <w:rFonts w:hint="eastAsia" w:ascii="仿宋_GB2312" w:eastAsia="仿宋_GB2312"/>
          <w:color w:val="000000" w:themeColor="text1" w:themeShade="80"/>
          <w:sz w:val="32"/>
          <w:szCs w:val="32"/>
        </w:rPr>
        <w:t>项目预算。</w:t>
      </w:r>
    </w:p>
    <w:p>
      <w:pPr>
        <w:widowControl w:val="0"/>
        <w:numPr>
          <w:ilvl w:val="0"/>
          <w:numId w:val="0"/>
        </w:numPr>
        <w:tabs>
          <w:tab w:val="clear" w:pos="312"/>
        </w:tabs>
        <w:wordWrap/>
        <w:spacing w:line="560" w:lineRule="exact"/>
        <w:ind w:leftChars="200" w:right="0" w:rightChars="0"/>
        <w:textAlignment w:val="auto"/>
        <w:outlineLvl w:val="9"/>
        <w:rPr>
          <w:rFonts w:hint="eastAsia" w:ascii="仿宋_GB2312" w:eastAsia="仿宋_GB2312"/>
          <w:color w:val="000000" w:themeColor="text1" w:themeShade="80"/>
          <w:sz w:val="32"/>
          <w:szCs w:val="32"/>
          <w:lang w:val="en-US" w:eastAsia="zh-CN"/>
        </w:rPr>
      </w:pP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tbl>
      <w:tblPr>
        <w:tblStyle w:val="6"/>
        <w:tblpPr w:leftFromText="180" w:rightFromText="180" w:vertAnchor="text" w:horzAnchor="page" w:tblpX="1953" w:tblpY="561"/>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
        <w:gridCol w:w="1282"/>
        <w:gridCol w:w="3177"/>
        <w:gridCol w:w="1323"/>
        <w:gridCol w:w="18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872"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eastAsia="zh-CN"/>
              </w:rPr>
            </w:pPr>
            <w:r>
              <w:rPr>
                <w:rFonts w:hint="eastAsia" w:ascii="仿宋_GB2312" w:eastAsia="仿宋_GB2312"/>
                <w:color w:val="auto"/>
                <w:sz w:val="32"/>
                <w:szCs w:val="32"/>
                <w:vertAlign w:val="baseline"/>
                <w:lang w:eastAsia="zh-CN"/>
              </w:rPr>
              <w:t>序号</w:t>
            </w:r>
          </w:p>
        </w:tc>
        <w:tc>
          <w:tcPr>
            <w:tcW w:w="1282"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eastAsia="zh-CN"/>
              </w:rPr>
            </w:pPr>
            <w:r>
              <w:rPr>
                <w:rFonts w:hint="eastAsia" w:ascii="仿宋_GB2312" w:eastAsia="仿宋_GB2312"/>
                <w:color w:val="auto"/>
                <w:sz w:val="32"/>
                <w:szCs w:val="32"/>
                <w:vertAlign w:val="baseline"/>
                <w:lang w:eastAsia="zh-CN"/>
              </w:rPr>
              <w:t>姓名</w:t>
            </w:r>
          </w:p>
        </w:tc>
        <w:tc>
          <w:tcPr>
            <w:tcW w:w="3177"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eastAsia="zh-CN"/>
              </w:rPr>
            </w:pPr>
            <w:r>
              <w:rPr>
                <w:rFonts w:hint="eastAsia" w:ascii="仿宋_GB2312" w:eastAsia="仿宋_GB2312"/>
                <w:color w:val="auto"/>
                <w:sz w:val="32"/>
                <w:szCs w:val="32"/>
                <w:vertAlign w:val="baseline"/>
                <w:lang w:eastAsia="zh-CN"/>
              </w:rPr>
              <w:t>工作单位</w:t>
            </w:r>
          </w:p>
        </w:tc>
        <w:tc>
          <w:tcPr>
            <w:tcW w:w="1323"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eastAsia="zh-CN"/>
              </w:rPr>
            </w:pPr>
            <w:r>
              <w:rPr>
                <w:rFonts w:hint="eastAsia" w:ascii="仿宋_GB2312" w:eastAsia="仿宋_GB2312"/>
                <w:color w:val="auto"/>
                <w:sz w:val="32"/>
                <w:szCs w:val="32"/>
                <w:vertAlign w:val="baseline"/>
                <w:lang w:eastAsia="zh-CN"/>
              </w:rPr>
              <w:t>职务</w:t>
            </w:r>
          </w:p>
        </w:tc>
        <w:tc>
          <w:tcPr>
            <w:tcW w:w="1868"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eastAsia="zh-CN"/>
              </w:rPr>
            </w:pPr>
            <w:r>
              <w:rPr>
                <w:rFonts w:hint="eastAsia" w:ascii="仿宋_GB2312" w:eastAsia="仿宋_GB2312"/>
                <w:color w:val="auto"/>
                <w:sz w:val="32"/>
                <w:szCs w:val="32"/>
                <w:vertAlign w:val="baseline"/>
                <w:lang w:eastAsia="zh-CN"/>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2"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val="en-US" w:eastAsia="zh-CN"/>
              </w:rPr>
            </w:pPr>
            <w:r>
              <w:rPr>
                <w:rFonts w:hint="eastAsia" w:ascii="仿宋_GB2312" w:eastAsia="仿宋_GB2312"/>
                <w:color w:val="auto"/>
                <w:sz w:val="32"/>
                <w:szCs w:val="32"/>
                <w:vertAlign w:val="baseline"/>
                <w:lang w:val="en-US" w:eastAsia="zh-CN"/>
              </w:rPr>
              <w:t>1</w:t>
            </w:r>
          </w:p>
        </w:tc>
        <w:tc>
          <w:tcPr>
            <w:tcW w:w="1282"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default" w:ascii="仿宋_GB2312" w:eastAsia="仿宋_GB2312"/>
                <w:color w:val="auto"/>
                <w:sz w:val="32"/>
                <w:szCs w:val="32"/>
                <w:vertAlign w:val="baseline"/>
                <w:lang w:val="en-US" w:eastAsia="zh-CN"/>
              </w:rPr>
            </w:pPr>
            <w:r>
              <w:rPr>
                <w:rFonts w:hint="eastAsia" w:ascii="仿宋_GB2312" w:eastAsia="仿宋_GB2312"/>
                <w:color w:val="auto"/>
                <w:sz w:val="32"/>
                <w:szCs w:val="32"/>
                <w:vertAlign w:val="baseline"/>
                <w:lang w:val="en-US" w:eastAsia="zh-CN"/>
              </w:rPr>
              <w:t>谭杰臣</w:t>
            </w:r>
          </w:p>
        </w:tc>
        <w:tc>
          <w:tcPr>
            <w:tcW w:w="3177"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eastAsia="zh-CN"/>
              </w:rPr>
            </w:pPr>
            <w:r>
              <w:rPr>
                <w:rFonts w:hint="eastAsia" w:ascii="仿宋_GB2312" w:eastAsia="仿宋_GB2312"/>
                <w:color w:val="auto"/>
                <w:sz w:val="32"/>
                <w:szCs w:val="32"/>
                <w:vertAlign w:val="baseline"/>
                <w:lang w:eastAsia="zh-CN"/>
              </w:rPr>
              <w:t>石家庄市第</w:t>
            </w:r>
            <w:r>
              <w:rPr>
                <w:rFonts w:hint="eastAsia" w:ascii="仿宋_GB2312" w:eastAsia="仿宋_GB2312"/>
                <w:color w:val="auto"/>
                <w:sz w:val="32"/>
                <w:szCs w:val="32"/>
                <w:vertAlign w:val="baseline"/>
                <w:lang w:val="en-US" w:eastAsia="zh-CN"/>
              </w:rPr>
              <w:t>一</w:t>
            </w:r>
            <w:r>
              <w:rPr>
                <w:rFonts w:hint="eastAsia" w:ascii="仿宋_GB2312" w:eastAsia="仿宋_GB2312"/>
                <w:color w:val="auto"/>
                <w:sz w:val="32"/>
                <w:szCs w:val="32"/>
                <w:vertAlign w:val="baseline"/>
                <w:lang w:eastAsia="zh-CN"/>
              </w:rPr>
              <w:t>看守所</w:t>
            </w:r>
          </w:p>
        </w:tc>
        <w:tc>
          <w:tcPr>
            <w:tcW w:w="1323"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eastAsia="zh-CN"/>
              </w:rPr>
            </w:pPr>
            <w:r>
              <w:rPr>
                <w:rFonts w:hint="eastAsia" w:ascii="仿宋_GB2312" w:eastAsia="仿宋_GB2312"/>
                <w:color w:val="auto"/>
                <w:sz w:val="32"/>
                <w:szCs w:val="32"/>
                <w:vertAlign w:val="baseline"/>
                <w:lang w:eastAsia="zh-CN"/>
              </w:rPr>
              <w:t>所长</w:t>
            </w:r>
          </w:p>
        </w:tc>
        <w:tc>
          <w:tcPr>
            <w:tcW w:w="1868" w:type="dxa"/>
          </w:tcPr>
          <w:p>
            <w:pPr>
              <w:widowControl w:val="0"/>
              <w:numPr>
                <w:ilvl w:val="0"/>
                <w:numId w:val="0"/>
              </w:numPr>
              <w:tabs>
                <w:tab w:val="clear" w:pos="312"/>
              </w:tabs>
              <w:wordWrap/>
              <w:adjustRightInd w:val="0"/>
              <w:snapToGrid w:val="0"/>
              <w:spacing w:line="360" w:lineRule="auto"/>
              <w:ind w:right="0" w:rightChars="0" w:firstLine="274" w:firstLineChars="0"/>
              <w:textAlignment w:val="auto"/>
              <w:outlineLvl w:val="9"/>
              <w:rPr>
                <w:rFonts w:hint="eastAsia" w:ascii="仿宋_GB2312" w:eastAsia="仿宋_GB2312"/>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2"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val="en-US" w:eastAsia="zh-CN"/>
              </w:rPr>
            </w:pPr>
            <w:r>
              <w:rPr>
                <w:rFonts w:hint="eastAsia" w:ascii="仿宋_GB2312" w:eastAsia="仿宋_GB2312"/>
                <w:color w:val="auto"/>
                <w:sz w:val="32"/>
                <w:szCs w:val="32"/>
                <w:vertAlign w:val="baseline"/>
                <w:lang w:val="en-US" w:eastAsia="zh-CN"/>
              </w:rPr>
              <w:t>2</w:t>
            </w:r>
          </w:p>
        </w:tc>
        <w:tc>
          <w:tcPr>
            <w:tcW w:w="1282"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default" w:ascii="仿宋_GB2312" w:eastAsia="仿宋_GB2312"/>
                <w:color w:val="auto"/>
                <w:sz w:val="32"/>
                <w:szCs w:val="32"/>
                <w:vertAlign w:val="baseline"/>
                <w:lang w:val="en-US" w:eastAsia="zh-CN"/>
              </w:rPr>
            </w:pPr>
            <w:r>
              <w:rPr>
                <w:rFonts w:hint="eastAsia" w:ascii="仿宋_GB2312" w:eastAsia="仿宋_GB2312"/>
                <w:color w:val="auto"/>
                <w:sz w:val="32"/>
                <w:szCs w:val="32"/>
                <w:vertAlign w:val="baseline"/>
                <w:lang w:val="en-US" w:eastAsia="zh-CN"/>
              </w:rPr>
              <w:t>刘占峰</w:t>
            </w:r>
          </w:p>
        </w:tc>
        <w:tc>
          <w:tcPr>
            <w:tcW w:w="3177"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eastAsia="zh-CN"/>
              </w:rPr>
            </w:pPr>
            <w:r>
              <w:rPr>
                <w:rFonts w:hint="eastAsia" w:ascii="仿宋_GB2312" w:eastAsia="仿宋_GB2312"/>
                <w:color w:val="auto"/>
                <w:sz w:val="32"/>
                <w:szCs w:val="32"/>
                <w:vertAlign w:val="baseline"/>
                <w:lang w:eastAsia="zh-CN"/>
              </w:rPr>
              <w:t>石家庄市第</w:t>
            </w:r>
            <w:r>
              <w:rPr>
                <w:rFonts w:hint="eastAsia" w:ascii="仿宋_GB2312" w:eastAsia="仿宋_GB2312"/>
                <w:color w:val="auto"/>
                <w:sz w:val="32"/>
                <w:szCs w:val="32"/>
                <w:vertAlign w:val="baseline"/>
                <w:lang w:val="en-US" w:eastAsia="zh-CN"/>
              </w:rPr>
              <w:t>一</w:t>
            </w:r>
            <w:r>
              <w:rPr>
                <w:rFonts w:hint="eastAsia" w:ascii="仿宋_GB2312" w:eastAsia="仿宋_GB2312"/>
                <w:color w:val="auto"/>
                <w:sz w:val="32"/>
                <w:szCs w:val="32"/>
                <w:vertAlign w:val="baseline"/>
                <w:lang w:eastAsia="zh-CN"/>
              </w:rPr>
              <w:t>看守所</w:t>
            </w:r>
          </w:p>
        </w:tc>
        <w:tc>
          <w:tcPr>
            <w:tcW w:w="1323"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eastAsia="zh-CN"/>
              </w:rPr>
            </w:pPr>
            <w:r>
              <w:rPr>
                <w:rFonts w:hint="eastAsia" w:ascii="仿宋_GB2312" w:eastAsia="仿宋_GB2312"/>
                <w:color w:val="auto"/>
                <w:sz w:val="32"/>
                <w:szCs w:val="32"/>
                <w:vertAlign w:val="baseline"/>
                <w:lang w:val="en-US" w:eastAsia="zh-CN"/>
              </w:rPr>
              <w:t>政委</w:t>
            </w:r>
          </w:p>
        </w:tc>
        <w:tc>
          <w:tcPr>
            <w:tcW w:w="1868"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2"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default" w:ascii="仿宋_GB2312" w:eastAsia="仿宋_GB2312"/>
                <w:color w:val="auto"/>
                <w:sz w:val="32"/>
                <w:szCs w:val="32"/>
                <w:vertAlign w:val="baseline"/>
                <w:lang w:val="en-US" w:eastAsia="zh-CN"/>
              </w:rPr>
            </w:pPr>
            <w:r>
              <w:rPr>
                <w:rFonts w:hint="eastAsia" w:ascii="仿宋_GB2312" w:eastAsia="仿宋_GB2312"/>
                <w:color w:val="auto"/>
                <w:sz w:val="32"/>
                <w:szCs w:val="32"/>
                <w:vertAlign w:val="baseline"/>
                <w:lang w:val="en-US" w:eastAsia="zh-CN"/>
              </w:rPr>
              <w:t>3</w:t>
            </w:r>
          </w:p>
        </w:tc>
        <w:tc>
          <w:tcPr>
            <w:tcW w:w="1282" w:type="dxa"/>
          </w:tcPr>
          <w:p>
            <w:pPr>
              <w:widowControl w:val="0"/>
              <w:numPr>
                <w:ilvl w:val="0"/>
                <w:numId w:val="0"/>
              </w:numPr>
              <w:tabs>
                <w:tab w:val="clear" w:pos="312"/>
              </w:tabs>
              <w:wordWrap/>
              <w:adjustRightInd w:val="0"/>
              <w:snapToGrid w:val="0"/>
              <w:spacing w:line="360" w:lineRule="auto"/>
              <w:ind w:right="0" w:rightChars="0"/>
              <w:jc w:val="left"/>
              <w:textAlignment w:val="auto"/>
              <w:outlineLvl w:val="9"/>
              <w:rPr>
                <w:rFonts w:hint="default" w:ascii="仿宋_GB2312" w:eastAsia="仿宋_GB2312"/>
                <w:color w:val="auto"/>
                <w:sz w:val="32"/>
                <w:szCs w:val="32"/>
                <w:vertAlign w:val="baseline"/>
                <w:lang w:val="en-US" w:eastAsia="zh-CN"/>
              </w:rPr>
            </w:pPr>
            <w:r>
              <w:rPr>
                <w:rFonts w:hint="eastAsia" w:ascii="仿宋_GB2312" w:eastAsia="仿宋_GB2312"/>
                <w:color w:val="auto"/>
                <w:sz w:val="32"/>
                <w:szCs w:val="32"/>
                <w:vertAlign w:val="baseline"/>
                <w:lang w:val="en-US" w:eastAsia="zh-CN"/>
              </w:rPr>
              <w:t>卢军</w:t>
            </w:r>
          </w:p>
        </w:tc>
        <w:tc>
          <w:tcPr>
            <w:tcW w:w="3177"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eastAsia="zh-CN"/>
              </w:rPr>
            </w:pPr>
            <w:r>
              <w:rPr>
                <w:rFonts w:hint="eastAsia" w:ascii="仿宋_GB2312" w:eastAsia="仿宋_GB2312"/>
                <w:color w:val="auto"/>
                <w:sz w:val="32"/>
                <w:szCs w:val="32"/>
                <w:vertAlign w:val="baseline"/>
                <w:lang w:eastAsia="zh-CN"/>
              </w:rPr>
              <w:t>石家庄市第</w:t>
            </w:r>
            <w:r>
              <w:rPr>
                <w:rFonts w:hint="eastAsia" w:ascii="仿宋_GB2312" w:eastAsia="仿宋_GB2312"/>
                <w:color w:val="auto"/>
                <w:sz w:val="32"/>
                <w:szCs w:val="32"/>
                <w:vertAlign w:val="baseline"/>
                <w:lang w:val="en-US" w:eastAsia="zh-CN"/>
              </w:rPr>
              <w:t>一</w:t>
            </w:r>
            <w:r>
              <w:rPr>
                <w:rFonts w:hint="eastAsia" w:ascii="仿宋_GB2312" w:eastAsia="仿宋_GB2312"/>
                <w:color w:val="auto"/>
                <w:sz w:val="32"/>
                <w:szCs w:val="32"/>
                <w:vertAlign w:val="baseline"/>
                <w:lang w:eastAsia="zh-CN"/>
              </w:rPr>
              <w:t>看守所</w:t>
            </w:r>
          </w:p>
        </w:tc>
        <w:tc>
          <w:tcPr>
            <w:tcW w:w="1323"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default" w:ascii="仿宋_GB2312" w:eastAsia="仿宋_GB2312"/>
                <w:color w:val="auto"/>
                <w:sz w:val="32"/>
                <w:szCs w:val="32"/>
                <w:vertAlign w:val="baseline"/>
                <w:lang w:val="en-US" w:eastAsia="zh-CN"/>
              </w:rPr>
            </w:pPr>
            <w:r>
              <w:rPr>
                <w:rFonts w:hint="eastAsia" w:ascii="仿宋_GB2312" w:eastAsia="仿宋_GB2312"/>
                <w:color w:val="auto"/>
                <w:sz w:val="32"/>
                <w:szCs w:val="32"/>
                <w:vertAlign w:val="baseline"/>
                <w:lang w:val="en-US" w:eastAsia="zh-CN"/>
              </w:rPr>
              <w:t>科长</w:t>
            </w:r>
          </w:p>
        </w:tc>
        <w:tc>
          <w:tcPr>
            <w:tcW w:w="1868"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72"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val="en-US" w:eastAsia="zh-CN"/>
              </w:rPr>
            </w:pPr>
            <w:r>
              <w:rPr>
                <w:rFonts w:hint="eastAsia" w:ascii="仿宋_GB2312" w:eastAsia="仿宋_GB2312"/>
                <w:color w:val="auto"/>
                <w:sz w:val="32"/>
                <w:szCs w:val="32"/>
                <w:vertAlign w:val="baseline"/>
                <w:lang w:val="en-US" w:eastAsia="zh-CN"/>
              </w:rPr>
              <w:t>4</w:t>
            </w:r>
          </w:p>
        </w:tc>
        <w:tc>
          <w:tcPr>
            <w:tcW w:w="1282"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val="en-US" w:eastAsia="zh-CN"/>
              </w:rPr>
            </w:pPr>
            <w:r>
              <w:rPr>
                <w:rFonts w:hint="eastAsia" w:ascii="仿宋_GB2312" w:eastAsia="仿宋_GB2312"/>
                <w:color w:val="auto"/>
                <w:sz w:val="32"/>
                <w:szCs w:val="32"/>
                <w:vertAlign w:val="baseline"/>
                <w:lang w:val="en-US" w:eastAsia="zh-CN"/>
              </w:rPr>
              <w:t>周福正</w:t>
            </w:r>
          </w:p>
        </w:tc>
        <w:tc>
          <w:tcPr>
            <w:tcW w:w="3177"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rPr>
            </w:pPr>
            <w:r>
              <w:rPr>
                <w:rFonts w:hint="eastAsia" w:ascii="仿宋_GB2312" w:eastAsia="仿宋_GB2312"/>
                <w:color w:val="auto"/>
                <w:sz w:val="32"/>
                <w:szCs w:val="32"/>
                <w:vertAlign w:val="baseline"/>
                <w:lang w:eastAsia="zh-CN"/>
              </w:rPr>
              <w:t>石家庄市第</w:t>
            </w:r>
            <w:r>
              <w:rPr>
                <w:rFonts w:hint="eastAsia" w:ascii="仿宋_GB2312" w:eastAsia="仿宋_GB2312"/>
                <w:color w:val="auto"/>
                <w:sz w:val="32"/>
                <w:szCs w:val="32"/>
                <w:vertAlign w:val="baseline"/>
                <w:lang w:val="en-US" w:eastAsia="zh-CN"/>
              </w:rPr>
              <w:t>一</w:t>
            </w:r>
            <w:r>
              <w:rPr>
                <w:rFonts w:hint="eastAsia" w:ascii="仿宋_GB2312" w:eastAsia="仿宋_GB2312"/>
                <w:color w:val="auto"/>
                <w:sz w:val="32"/>
                <w:szCs w:val="32"/>
                <w:vertAlign w:val="baseline"/>
                <w:lang w:eastAsia="zh-CN"/>
              </w:rPr>
              <w:t>看守所</w:t>
            </w:r>
          </w:p>
        </w:tc>
        <w:tc>
          <w:tcPr>
            <w:tcW w:w="1323"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lang w:val="en-US" w:eastAsia="zh-CN"/>
              </w:rPr>
            </w:pPr>
            <w:r>
              <w:rPr>
                <w:rFonts w:hint="eastAsia" w:ascii="仿宋_GB2312" w:eastAsia="仿宋_GB2312"/>
                <w:color w:val="auto"/>
                <w:sz w:val="32"/>
                <w:szCs w:val="32"/>
                <w:vertAlign w:val="baseline"/>
                <w:lang w:val="en-US" w:eastAsia="zh-CN"/>
              </w:rPr>
              <w:t>科员</w:t>
            </w:r>
          </w:p>
        </w:tc>
        <w:tc>
          <w:tcPr>
            <w:tcW w:w="1868" w:type="dxa"/>
          </w:tcPr>
          <w:p>
            <w:pPr>
              <w:widowControl w:val="0"/>
              <w:numPr>
                <w:ilvl w:val="0"/>
                <w:numId w:val="0"/>
              </w:numPr>
              <w:tabs>
                <w:tab w:val="clear" w:pos="312"/>
              </w:tabs>
              <w:wordWrap/>
              <w:adjustRightInd w:val="0"/>
              <w:snapToGrid w:val="0"/>
              <w:spacing w:line="360" w:lineRule="auto"/>
              <w:ind w:right="0" w:rightChars="0"/>
              <w:textAlignment w:val="auto"/>
              <w:outlineLvl w:val="9"/>
              <w:rPr>
                <w:rFonts w:hint="eastAsia" w:ascii="仿宋_GB2312" w:eastAsia="仿宋_GB2312"/>
                <w:color w:val="auto"/>
                <w:sz w:val="32"/>
                <w:szCs w:val="32"/>
                <w:vertAlign w:val="baseline"/>
              </w:rPr>
            </w:pPr>
          </w:p>
        </w:tc>
      </w:tr>
    </w:tbl>
    <w:p>
      <w:pPr>
        <w:widowControl w:val="0"/>
        <w:wordWrap/>
        <w:spacing w:line="560" w:lineRule="exact"/>
        <w:ind w:left="0" w:leftChars="0" w:right="0"/>
        <w:textAlignment w:val="auto"/>
        <w:outlineLvl w:val="9"/>
        <w:rPr>
          <w:rFonts w:ascii="仿宋" w:hAnsi="仿宋" w:eastAsia="仿宋"/>
        </w:rPr>
      </w:pPr>
    </w:p>
    <w:p>
      <w:pPr>
        <w:widowControl w:val="0"/>
        <w:wordWrap/>
        <w:spacing w:line="560" w:lineRule="exact"/>
        <w:ind w:left="0" w:leftChars="0" w:right="0"/>
        <w:textAlignment w:val="auto"/>
        <w:outlineLvl w:val="9"/>
        <w:rPr>
          <w:rFonts w:ascii="仿宋" w:hAnsi="仿宋" w:eastAsia="仿宋"/>
        </w:rPr>
      </w:pPr>
    </w:p>
    <w:p>
      <w:pPr>
        <w:widowControl w:val="0"/>
        <w:wordWrap/>
        <w:spacing w:line="560" w:lineRule="exact"/>
        <w:ind w:left="0" w:leftChars="0" w:right="0"/>
        <w:textAlignment w:val="auto"/>
        <w:outlineLvl w:val="9"/>
        <w:rPr>
          <w:rFonts w:hint="eastAsia" w:ascii="仿宋" w:hAnsi="仿宋" w:eastAsia="仿宋"/>
          <w:lang w:val="en-US" w:eastAsia="zh-CN"/>
        </w:rPr>
      </w:pPr>
      <w:r>
        <w:rPr>
          <w:rFonts w:hint="eastAsia" w:ascii="仿宋" w:hAnsi="仿宋" w:eastAsia="仿宋"/>
          <w:lang w:val="en-US" w:eastAsia="zh-CN"/>
        </w:rPr>
        <w:t xml:space="preserve">                                         </w:t>
      </w:r>
    </w:p>
    <w:p>
      <w:pPr>
        <w:widowControl w:val="0"/>
        <w:wordWrap/>
        <w:spacing w:line="560" w:lineRule="exact"/>
        <w:ind w:left="0" w:leftChars="0" w:right="0"/>
        <w:textAlignment w:val="auto"/>
        <w:outlineLvl w:val="9"/>
        <w:rPr>
          <w:rFonts w:hint="eastAsia" w:ascii="仿宋" w:hAnsi="仿宋" w:eastAsia="仿宋"/>
          <w:lang w:val="en-US" w:eastAsia="zh-CN"/>
        </w:rPr>
      </w:pPr>
    </w:p>
    <w:p>
      <w:pPr>
        <w:widowControl w:val="0"/>
        <w:wordWrap/>
        <w:spacing w:line="560" w:lineRule="exact"/>
        <w:ind w:left="0" w:leftChars="0" w:right="0"/>
        <w:textAlignment w:val="auto"/>
        <w:outlineLvl w:val="9"/>
        <w:rPr>
          <w:rFonts w:hint="eastAsia" w:ascii="仿宋" w:hAnsi="仿宋" w:eastAsia="仿宋"/>
          <w:lang w:val="en-US" w:eastAsia="zh-CN"/>
        </w:rPr>
      </w:pPr>
    </w:p>
    <w:p>
      <w:pPr>
        <w:widowControl w:val="0"/>
        <w:wordWrap/>
        <w:spacing w:line="560" w:lineRule="exact"/>
        <w:ind w:left="0" w:leftChars="0" w:right="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lang w:val="en-US" w:eastAsia="zh-CN"/>
        </w:rPr>
        <w:t xml:space="preserve">                                                </w:t>
      </w:r>
      <w:r>
        <w:rPr>
          <w:rFonts w:hint="eastAsia" w:ascii="仿宋" w:hAnsi="仿宋" w:eastAsia="仿宋"/>
          <w:sz w:val="32"/>
          <w:szCs w:val="32"/>
          <w:highlight w:val="none"/>
          <w:lang w:val="en-US" w:eastAsia="zh-CN"/>
        </w:rPr>
        <w:t xml:space="preserve">石家庄市第一看守所                                                                </w:t>
      </w:r>
    </w:p>
    <w:p>
      <w:pPr>
        <w:widowControl w:val="0"/>
        <w:wordWrap/>
        <w:spacing w:line="560" w:lineRule="exact"/>
        <w:ind w:left="0" w:leftChars="0" w:right="0" w:firstLine="640" w:firstLineChars="200"/>
        <w:textAlignment w:val="auto"/>
        <w:outlineLvl w:val="9"/>
        <w:rPr>
          <w:rFonts w:hint="eastAsia" w:ascii="仿宋" w:hAnsi="仿宋" w:eastAsia="仿宋"/>
          <w:lang w:val="en-US" w:eastAsia="zh-CN"/>
        </w:rPr>
      </w:pPr>
      <w:r>
        <w:rPr>
          <w:rFonts w:hint="eastAsia" w:ascii="仿宋" w:hAnsi="仿宋" w:eastAsia="仿宋"/>
          <w:sz w:val="32"/>
          <w:szCs w:val="32"/>
          <w:highlight w:val="none"/>
          <w:lang w:val="en-US" w:eastAsia="zh-CN"/>
        </w:rPr>
        <w:t xml:space="preserve">                               </w:t>
      </w:r>
      <w:bookmarkStart w:id="0" w:name="_GoBack"/>
      <w:bookmarkEnd w:id="0"/>
      <w:r>
        <w:rPr>
          <w:rFonts w:hint="eastAsia" w:ascii="仿宋" w:hAnsi="仿宋" w:eastAsia="仿宋"/>
          <w:sz w:val="32"/>
          <w:szCs w:val="32"/>
          <w:highlight w:val="none"/>
          <w:lang w:val="en-US" w:eastAsia="zh-CN"/>
        </w:rPr>
        <w:t xml:space="preserve">2022年3月29日  </w:t>
      </w:r>
      <w:r>
        <w:rPr>
          <w:rFonts w:hint="eastAsia" w:ascii="仿宋" w:hAnsi="仿宋" w:eastAsia="仿宋"/>
          <w:lang w:val="en-US" w:eastAsia="zh-CN"/>
        </w:rPr>
        <w:t xml:space="preserve">              </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6FF" w:usb1="420024FF" w:usb2="02000000" w:usb3="00000000" w:csb0="2000019F" w:csb1="00000000"/>
  </w:font>
  <w:font w:name="Calibri">
    <w:panose1 w:val="020F0502020204030204"/>
    <w:charset w:val="00"/>
    <w:family w:val="decorative"/>
    <w:pitch w:val="default"/>
    <w:sig w:usb0="E4002EFF" w:usb1="C000247B" w:usb2="00000009" w:usb3="00000000" w:csb0="200001FF" w:csb1="00000000"/>
  </w:font>
  <w:font w:name="Arial">
    <w:panose1 w:val="020B0604020202020204"/>
    <w:charset w:val="01"/>
    <w:family w:val="decorative"/>
    <w:pitch w:val="default"/>
    <w:sig w:usb0="E0002EFF" w:usb1="C000785B" w:usb2="00000009" w:usb3="00000000" w:csb0="400001FF" w:csb1="FFFF0000"/>
  </w:font>
  <w:font w:name="Courier New">
    <w:panose1 w:val="02070309020205020404"/>
    <w:charset w:val="01"/>
    <w:family w:val="swiss"/>
    <w:pitch w:val="default"/>
    <w:sig w:usb0="E0002E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6FF" w:usb1="420024FF" w:usb2="02000000" w:usb3="00000000" w:csb0="2000019F" w:csb1="00000000"/>
  </w:font>
  <w:font w:name="Calibri">
    <w:panose1 w:val="020F0502020204030204"/>
    <w:charset w:val="00"/>
    <w:family w:val="roman"/>
    <w:pitch w:val="default"/>
    <w:sig w:usb0="E4002EFF" w:usb1="C000247B" w:usb2="00000009" w:usb3="00000000" w:csb0="200001FF" w:csb1="00000000"/>
  </w:font>
  <w:font w:name="Arial">
    <w:panose1 w:val="020B0604020202020204"/>
    <w:charset w:val="01"/>
    <w:family w:val="roman"/>
    <w:pitch w:val="default"/>
    <w:sig w:usb0="E0002EFF" w:usb1="C000785B" w:usb2="00000009" w:usb3="00000000" w:csb0="400001FF" w:csb1="FFFF0000"/>
  </w:font>
  <w:font w:name="Courier New">
    <w:panose1 w:val="02070309020205020404"/>
    <w:charset w:val="01"/>
    <w:family w:val="decorative"/>
    <w:pitch w:val="default"/>
    <w:sig w:usb0="E0002E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仿宋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Cambria">
    <w:panose1 w:val="02040503050406030204"/>
    <w:charset w:val="00"/>
    <w:family w:val="decorative"/>
    <w:pitch w:val="default"/>
    <w:sig w:usb0="E00006FF" w:usb1="420024FF" w:usb2="02000000" w:usb3="00000000" w:csb0="2000019F" w:csb1="00000000"/>
  </w:font>
  <w:font w:name="Calibri">
    <w:panose1 w:val="020F0502020204030204"/>
    <w:charset w:val="00"/>
    <w:family w:val="modern"/>
    <w:pitch w:val="default"/>
    <w:sig w:usb0="E4002EFF" w:usb1="C000247B" w:usb2="00000009" w:usb3="00000000" w:csb0="200001FF" w:csb1="00000000"/>
  </w:font>
  <w:font w:name="Arial">
    <w:panose1 w:val="020B0604020202020204"/>
    <w:charset w:val="01"/>
    <w:family w:val="modern"/>
    <w:pitch w:val="default"/>
    <w:sig w:usb0="E0002EFF" w:usb1="C000785B" w:usb2="00000009" w:usb3="00000000" w:csb0="400001FF" w:csb1="FFFF0000"/>
  </w:font>
  <w:font w:name="Courier New">
    <w:panose1 w:val="02070309020205020404"/>
    <w:charset w:val="01"/>
    <w:family w:val="roman"/>
    <w:pitch w:val="default"/>
    <w:sig w:usb0="E0002E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w:pict>
        <v:shape id="Quad Arrow 3073" o:spid="_x0000_s4097" o:spt="202" type="#_x0000_t202" style="position:absolute;left:0pt;margin-top:0pt;height:144pt;width:144pt;mso-position-horizontal:center;mso-position-horizontal-relative:margin;mso-wrap-style:non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648538671">
    <w:nsid w:val="6242B42F"/>
    <w:multiLevelType w:val="singleLevel"/>
    <w:tmpl w:val="6242B42F"/>
    <w:lvl w:ilvl="0" w:tentative="1">
      <w:start w:val="2"/>
      <w:numFmt w:val="chineseCounting"/>
      <w:suff w:val="nothing"/>
      <w:lvlText w:val="（%1）"/>
      <w:lvlJc w:val="left"/>
    </w:lvl>
  </w:abstractNum>
  <w:abstractNum w:abstractNumId="85371521">
    <w:nsid w:val="0516AA81"/>
    <w:multiLevelType w:val="singleLevel"/>
    <w:tmpl w:val="0516AA81"/>
    <w:lvl w:ilvl="0" w:tentative="1">
      <w:start w:val="2"/>
      <w:numFmt w:val="chineseCounting"/>
      <w:suff w:val="nothing"/>
      <w:lvlText w:val="（%1）"/>
      <w:lvlJc w:val="left"/>
      <w:pPr>
        <w:ind w:left="642" w:leftChars="0" w:firstLine="0" w:firstLineChars="0"/>
      </w:pPr>
      <w:rPr>
        <w:rFonts w:hint="eastAsia"/>
      </w:rPr>
    </w:lvl>
  </w:abstractNum>
  <w:abstractNum w:abstractNumId="845195337">
    <w:nsid w:val="3260A849"/>
    <w:multiLevelType w:val="singleLevel"/>
    <w:tmpl w:val="3260A849"/>
    <w:lvl w:ilvl="0" w:tentative="1">
      <w:start w:val="1"/>
      <w:numFmt w:val="decimal"/>
      <w:lvlText w:val="%1."/>
      <w:lvlJc w:val="left"/>
      <w:pPr>
        <w:tabs>
          <w:tab w:val="left" w:pos="312"/>
        </w:tabs>
      </w:pPr>
    </w:lvl>
  </w:abstractNum>
  <w:abstractNum w:abstractNumId="3092141426">
    <w:nsid w:val="B84E5572"/>
    <w:multiLevelType w:val="singleLevel"/>
    <w:tmpl w:val="B84E5572"/>
    <w:lvl w:ilvl="0" w:tentative="1">
      <w:start w:val="1"/>
      <w:numFmt w:val="decimal"/>
      <w:suff w:val="nothing"/>
      <w:lvlText w:val="%1、"/>
      <w:lvlJc w:val="left"/>
    </w:lvl>
  </w:abstractNum>
  <w:abstractNum w:abstractNumId="1648541764">
    <w:nsid w:val="6242C044"/>
    <w:multiLevelType w:val="singleLevel"/>
    <w:tmpl w:val="6242C044"/>
    <w:lvl w:ilvl="0" w:tentative="1">
      <w:start w:val="2"/>
      <w:numFmt w:val="chineseCounting"/>
      <w:suff w:val="nothing"/>
      <w:lvlText w:val="（%1）"/>
      <w:lvlJc w:val="left"/>
    </w:lvl>
  </w:abstractNum>
  <w:abstractNum w:abstractNumId="1583892635">
    <w:nsid w:val="5E68489B"/>
    <w:multiLevelType w:val="singleLevel"/>
    <w:tmpl w:val="5E68489B"/>
    <w:lvl w:ilvl="0" w:tentative="1">
      <w:start w:val="1"/>
      <w:numFmt w:val="chineseCounting"/>
      <w:suff w:val="nothing"/>
      <w:lvlText w:val="（%1）"/>
      <w:lvlJc w:val="left"/>
    </w:lvl>
  </w:abstractNum>
  <w:num w:numId="1">
    <w:abstractNumId w:val="1648538671"/>
  </w:num>
  <w:num w:numId="2">
    <w:abstractNumId w:val="85371521"/>
  </w:num>
  <w:num w:numId="3">
    <w:abstractNumId w:val="3092141426"/>
  </w:num>
  <w:num w:numId="4">
    <w:abstractNumId w:val="1583892635"/>
  </w:num>
  <w:num w:numId="5">
    <w:abstractNumId w:val="845195337"/>
  </w:num>
  <w:num w:numId="6">
    <w:abstractNumId w:val="164854176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708F"/>
    <w:rsid w:val="007E6C1F"/>
    <w:rsid w:val="00AF566A"/>
    <w:rsid w:val="00B6553A"/>
    <w:rsid w:val="01B104CA"/>
    <w:rsid w:val="02106AB0"/>
    <w:rsid w:val="02B43A28"/>
    <w:rsid w:val="046F331E"/>
    <w:rsid w:val="07956271"/>
    <w:rsid w:val="09721397"/>
    <w:rsid w:val="0BB63BED"/>
    <w:rsid w:val="0EB97A43"/>
    <w:rsid w:val="0EBD2122"/>
    <w:rsid w:val="0F214EAE"/>
    <w:rsid w:val="11B71E6A"/>
    <w:rsid w:val="1397305B"/>
    <w:rsid w:val="15351781"/>
    <w:rsid w:val="1AAF0063"/>
    <w:rsid w:val="1BE140DE"/>
    <w:rsid w:val="248C197D"/>
    <w:rsid w:val="252959AF"/>
    <w:rsid w:val="277A6671"/>
    <w:rsid w:val="29053DDD"/>
    <w:rsid w:val="292D35B7"/>
    <w:rsid w:val="2CCE7E79"/>
    <w:rsid w:val="337A6CB9"/>
    <w:rsid w:val="33EB6CFF"/>
    <w:rsid w:val="35A12947"/>
    <w:rsid w:val="37387040"/>
    <w:rsid w:val="3B625C0A"/>
    <w:rsid w:val="3CEE1963"/>
    <w:rsid w:val="4C9C27FE"/>
    <w:rsid w:val="512260B4"/>
    <w:rsid w:val="52BD6ACB"/>
    <w:rsid w:val="55537534"/>
    <w:rsid w:val="561A74F1"/>
    <w:rsid w:val="597244E8"/>
    <w:rsid w:val="5EB71C30"/>
    <w:rsid w:val="66AF0CE5"/>
    <w:rsid w:val="6AC537CF"/>
    <w:rsid w:val="6E5B14A6"/>
    <w:rsid w:val="711B255E"/>
    <w:rsid w:val="7BB51E06"/>
    <w:rsid w:val="7C387F7C"/>
    <w:rsid w:val="7FE83423"/>
  </w:rsids>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ScaleCrop>false</ScaleCrop>
  <LinksUpToDate>false</LinksUpToDate>
  <CharactersWithSpaces>0</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2022-01-19T07:24:00Z</cp:lastPrinted>
  <dcterms:modified xsi:type="dcterms:W3CDTF">2022-03-31T01:00:07Z</dcterms:modified>
  <dc:title>附件3：</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