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ind w:firstLine="0" w:firstLineChars="0"/>
        <w:jc w:val="center"/>
        <w:rPr>
          <w:rFonts w:cs="宋体" w:asciiTheme="majorEastAsia" w:hAnsiTheme="majorEastAsia" w:eastAsiaTheme="majorEastAsia"/>
          <w:b/>
          <w:bCs/>
          <w:kern w:val="0"/>
          <w:sz w:val="44"/>
          <w:szCs w:val="44"/>
        </w:rPr>
      </w:pPr>
      <w:r>
        <w:rPr>
          <w:rFonts w:hint="eastAsia" w:cs="宋体" w:asciiTheme="majorEastAsia" w:hAnsiTheme="majorEastAsia" w:eastAsiaTheme="majorEastAsia"/>
          <w:b/>
          <w:bCs/>
          <w:kern w:val="0"/>
          <w:sz w:val="44"/>
          <w:szCs w:val="44"/>
        </w:rPr>
        <w:t>石家庄市自然资源和</w:t>
      </w:r>
      <w:r>
        <w:rPr>
          <w:rFonts w:cs="宋体" w:asciiTheme="majorEastAsia" w:hAnsiTheme="majorEastAsia" w:eastAsiaTheme="majorEastAsia"/>
          <w:b/>
          <w:bCs/>
          <w:kern w:val="0"/>
          <w:sz w:val="44"/>
          <w:szCs w:val="44"/>
        </w:rPr>
        <w:t>规划</w:t>
      </w:r>
      <w:r>
        <w:rPr>
          <w:rFonts w:hint="eastAsia" w:cs="宋体" w:asciiTheme="majorEastAsia" w:hAnsiTheme="majorEastAsia" w:eastAsiaTheme="majorEastAsia"/>
          <w:b/>
          <w:bCs/>
          <w:kern w:val="0"/>
          <w:sz w:val="44"/>
          <w:szCs w:val="44"/>
        </w:rPr>
        <w:t>局</w:t>
      </w:r>
    </w:p>
    <w:p>
      <w:pPr>
        <w:snapToGrid w:val="0"/>
        <w:ind w:firstLine="0" w:firstLineChars="0"/>
        <w:jc w:val="center"/>
        <w:rPr>
          <w:rFonts w:cs="宋体" w:asciiTheme="majorEastAsia" w:hAnsiTheme="majorEastAsia" w:eastAsiaTheme="majorEastAsia"/>
          <w:b/>
          <w:bCs/>
          <w:sz w:val="44"/>
          <w:szCs w:val="44"/>
        </w:rPr>
      </w:pPr>
      <w:r>
        <w:rPr>
          <w:rFonts w:hint="eastAsia" w:cs="宋体" w:asciiTheme="majorEastAsia" w:hAnsiTheme="majorEastAsia" w:eastAsiaTheme="majorEastAsia"/>
          <w:b/>
          <w:bCs/>
          <w:kern w:val="0"/>
          <w:sz w:val="44"/>
          <w:szCs w:val="44"/>
        </w:rPr>
        <w:t>20</w:t>
      </w:r>
      <w:r>
        <w:rPr>
          <w:rFonts w:cs="宋体" w:asciiTheme="majorEastAsia" w:hAnsiTheme="majorEastAsia" w:eastAsiaTheme="majorEastAsia"/>
          <w:b/>
          <w:bCs/>
          <w:kern w:val="0"/>
          <w:sz w:val="44"/>
          <w:szCs w:val="44"/>
        </w:rPr>
        <w:t>20</w:t>
      </w:r>
      <w:r>
        <w:rPr>
          <w:rFonts w:hint="eastAsia" w:cs="宋体" w:asciiTheme="majorEastAsia" w:hAnsiTheme="majorEastAsia" w:eastAsiaTheme="majorEastAsia"/>
          <w:b/>
          <w:bCs/>
          <w:kern w:val="0"/>
          <w:sz w:val="44"/>
          <w:szCs w:val="44"/>
        </w:rPr>
        <w:t>年度</w:t>
      </w:r>
      <w:r>
        <w:rPr>
          <w:rFonts w:hint="eastAsia" w:cs="宋体" w:asciiTheme="majorEastAsia" w:hAnsiTheme="majorEastAsia" w:eastAsiaTheme="majorEastAsia"/>
          <w:b/>
          <w:bCs/>
          <w:sz w:val="44"/>
          <w:szCs w:val="44"/>
        </w:rPr>
        <w:t>绩效自评工作报告</w:t>
      </w:r>
    </w:p>
    <w:p>
      <w:pPr>
        <w:snapToGrid w:val="0"/>
        <w:ind w:firstLine="640"/>
        <w:rPr>
          <w:rFonts w:ascii="仿宋_GB2312" w:hAnsi="仿宋_GB2312" w:eastAsia="仿宋_GB2312" w:cs="宋体"/>
          <w:szCs w:val="32"/>
        </w:rPr>
      </w:pPr>
    </w:p>
    <w:p>
      <w:pPr>
        <w:ind w:firstLine="640"/>
        <w:rPr>
          <w:rFonts w:ascii="仿宋_GB2312" w:hAnsi="仿宋_GB2312" w:eastAsia="仿宋_GB2312" w:cs="宋体"/>
        </w:rPr>
      </w:pPr>
      <w:r>
        <w:rPr>
          <w:rFonts w:hint="eastAsia" w:ascii="仿宋" w:hAnsi="仿宋" w:cstheme="minorBidi"/>
          <w:szCs w:val="32"/>
        </w:rPr>
        <w:t>为切实做好20</w:t>
      </w:r>
      <w:r>
        <w:rPr>
          <w:rFonts w:ascii="仿宋" w:hAnsi="仿宋" w:cstheme="minorBidi"/>
          <w:szCs w:val="32"/>
        </w:rPr>
        <w:t>20</w:t>
      </w:r>
      <w:r>
        <w:rPr>
          <w:rFonts w:hint="eastAsia" w:ascii="仿宋" w:hAnsi="仿宋" w:cstheme="minorBidi"/>
          <w:szCs w:val="32"/>
        </w:rPr>
        <w:t>年度部门绩效自评工作，提高财政资金使用效益，根据《石家庄市市级部门预算项目绩效自评管理办法》、《石家庄市财政局关于开展20</w:t>
      </w:r>
      <w:r>
        <w:rPr>
          <w:rFonts w:ascii="仿宋" w:hAnsi="仿宋" w:cstheme="minorBidi"/>
          <w:szCs w:val="32"/>
        </w:rPr>
        <w:t>20</w:t>
      </w:r>
      <w:r>
        <w:rPr>
          <w:rFonts w:hint="eastAsia" w:ascii="仿宋" w:hAnsi="仿宋" w:cstheme="minorBidi"/>
          <w:szCs w:val="32"/>
        </w:rPr>
        <w:t>年度财政专项资金部门绩效自评工作的通知》要求，</w:t>
      </w:r>
      <w:r>
        <w:rPr>
          <w:rFonts w:hint="eastAsia" w:ascii="仿宋" w:hAnsi="仿宋" w:cstheme="minorBidi"/>
          <w:szCs w:val="32"/>
          <w:lang w:eastAsia="zh-CN"/>
        </w:rPr>
        <w:t>我局</w:t>
      </w:r>
      <w:r>
        <w:rPr>
          <w:rFonts w:hint="eastAsia" w:ascii="仿宋" w:hAnsi="仿宋" w:cstheme="minorBidi"/>
          <w:szCs w:val="32"/>
        </w:rPr>
        <w:t>结合实际于202</w:t>
      </w:r>
      <w:r>
        <w:rPr>
          <w:rFonts w:ascii="仿宋" w:hAnsi="仿宋" w:cstheme="minorBidi"/>
          <w:szCs w:val="32"/>
        </w:rPr>
        <w:t>1</w:t>
      </w:r>
      <w:r>
        <w:rPr>
          <w:rFonts w:hint="eastAsia" w:ascii="仿宋" w:hAnsi="仿宋" w:cstheme="minorBidi"/>
          <w:szCs w:val="32"/>
        </w:rPr>
        <w:t>年</w:t>
      </w:r>
      <w:r>
        <w:rPr>
          <w:rFonts w:hint="eastAsia" w:ascii="仿宋" w:hAnsi="仿宋" w:cstheme="minorBidi"/>
          <w:szCs w:val="32"/>
          <w:lang w:val="en-US" w:eastAsia="zh-CN"/>
        </w:rPr>
        <w:t>4</w:t>
      </w:r>
      <w:r>
        <w:rPr>
          <w:rFonts w:hint="eastAsia" w:ascii="仿宋" w:hAnsi="仿宋" w:cstheme="minorBidi"/>
          <w:szCs w:val="32"/>
        </w:rPr>
        <w:t>月</w:t>
      </w:r>
      <w:r>
        <w:rPr>
          <w:rFonts w:hint="eastAsia" w:ascii="仿宋" w:hAnsi="仿宋" w:cstheme="minorBidi"/>
          <w:szCs w:val="32"/>
          <w:lang w:val="en-US" w:eastAsia="zh-CN"/>
        </w:rPr>
        <w:t>15</w:t>
      </w:r>
      <w:r>
        <w:rPr>
          <w:rFonts w:hint="eastAsia" w:ascii="仿宋" w:hAnsi="仿宋" w:cstheme="minorBidi"/>
          <w:szCs w:val="32"/>
        </w:rPr>
        <w:t>日至</w:t>
      </w:r>
      <w:r>
        <w:rPr>
          <w:rFonts w:ascii="仿宋" w:hAnsi="仿宋" w:cstheme="minorBidi"/>
          <w:szCs w:val="32"/>
        </w:rPr>
        <w:t>6</w:t>
      </w:r>
      <w:r>
        <w:rPr>
          <w:rFonts w:hint="eastAsia" w:ascii="仿宋" w:hAnsi="仿宋" w:cstheme="minorBidi"/>
          <w:szCs w:val="32"/>
        </w:rPr>
        <w:t>月</w:t>
      </w:r>
      <w:r>
        <w:rPr>
          <w:rFonts w:hint="eastAsia" w:ascii="仿宋" w:hAnsi="仿宋" w:cstheme="minorBidi"/>
          <w:szCs w:val="32"/>
          <w:lang w:val="en-US" w:eastAsia="zh-CN"/>
        </w:rPr>
        <w:t>15</w:t>
      </w:r>
      <w:r>
        <w:rPr>
          <w:rFonts w:hint="eastAsia" w:ascii="仿宋" w:hAnsi="仿宋" w:cstheme="minorBidi"/>
          <w:szCs w:val="32"/>
        </w:rPr>
        <w:t>日对20</w:t>
      </w:r>
      <w:r>
        <w:rPr>
          <w:rFonts w:ascii="仿宋" w:hAnsi="仿宋" w:cstheme="minorBidi"/>
          <w:szCs w:val="32"/>
        </w:rPr>
        <w:t>20</w:t>
      </w:r>
      <w:r>
        <w:rPr>
          <w:rFonts w:hint="eastAsia" w:ascii="仿宋" w:hAnsi="仿宋" w:cstheme="minorBidi"/>
          <w:szCs w:val="32"/>
        </w:rPr>
        <w:t>年度部门所有预算项目（包括专项项目和专项公用）进行了绩效自评。评价采用定性分析与定量分析相结合的方法，从预算管理、预算执行、专项资金使用及产生</w:t>
      </w:r>
      <w:r>
        <w:rPr>
          <w:rFonts w:hint="eastAsia"/>
        </w:rPr>
        <w:t>效益等方面进行了综合评价。现将绩效自评情况报告如下：</w:t>
      </w:r>
    </w:p>
    <w:p>
      <w:pPr>
        <w:snapToGrid w:val="0"/>
        <w:ind w:firstLine="640"/>
        <w:outlineLvl w:val="0"/>
        <w:rPr>
          <w:rFonts w:ascii="黑体" w:hAnsi="黑体" w:eastAsia="黑体" w:cs="黑体"/>
          <w:szCs w:val="32"/>
        </w:rPr>
      </w:pPr>
      <w:bookmarkStart w:id="0" w:name="_Toc42596361"/>
      <w:r>
        <w:rPr>
          <w:rFonts w:hint="eastAsia" w:ascii="黑体" w:hAnsi="黑体" w:eastAsia="黑体" w:cs="黑体"/>
          <w:szCs w:val="32"/>
        </w:rPr>
        <w:t>一、绩效自评工作组织开展情况</w:t>
      </w:r>
      <w:bookmarkEnd w:id="0"/>
    </w:p>
    <w:p>
      <w:pPr>
        <w:ind w:firstLine="640"/>
        <w:rPr>
          <w:rFonts w:hint="eastAsia" w:ascii="仿宋" w:hAnsi="仿宋" w:cstheme="minorBidi"/>
          <w:szCs w:val="32"/>
        </w:rPr>
      </w:pPr>
      <w:bookmarkStart w:id="1" w:name="_Toc42596362"/>
      <w:r>
        <w:rPr>
          <w:rFonts w:hint="eastAsia" w:ascii="仿宋" w:hAnsi="仿宋" w:cstheme="minorBidi"/>
          <w:szCs w:val="32"/>
        </w:rPr>
        <w:t>（一）组织及实施情况</w:t>
      </w:r>
      <w:bookmarkEnd w:id="1"/>
    </w:p>
    <w:p>
      <w:pPr>
        <w:ind w:firstLine="640"/>
        <w:rPr>
          <w:rFonts w:hint="eastAsia" w:ascii="仿宋" w:hAnsi="仿宋" w:cstheme="minorBidi"/>
          <w:szCs w:val="32"/>
        </w:rPr>
      </w:pPr>
      <w:r>
        <w:rPr>
          <w:rFonts w:hint="eastAsia" w:ascii="仿宋" w:hAnsi="仿宋" w:cstheme="minorBidi"/>
          <w:szCs w:val="32"/>
          <w:lang w:eastAsia="zh-CN"/>
        </w:rPr>
        <w:t>我局对照石家庄市财政局《关于开展</w:t>
      </w:r>
      <w:r>
        <w:rPr>
          <w:rFonts w:hint="eastAsia" w:ascii="仿宋" w:hAnsi="仿宋" w:cstheme="minorBidi"/>
          <w:szCs w:val="32"/>
          <w:lang w:val="en-US" w:eastAsia="zh-CN"/>
        </w:rPr>
        <w:t>2020</w:t>
      </w:r>
      <w:r>
        <w:rPr>
          <w:rFonts w:hint="eastAsia" w:ascii="仿宋" w:hAnsi="仿宋" w:cstheme="minorBidi"/>
          <w:szCs w:val="32"/>
          <w:lang w:eastAsia="zh-CN"/>
        </w:rPr>
        <w:t>年度财政专项资金部门绩效》的文件通知，明确了</w:t>
      </w:r>
      <w:r>
        <w:rPr>
          <w:rFonts w:hint="eastAsia" w:ascii="仿宋" w:hAnsi="仿宋" w:cstheme="minorBidi"/>
          <w:szCs w:val="32"/>
        </w:rPr>
        <w:t>绩效自评的范围和对象，确定纳入绩效自评的年度预算项目。拟定组织实施方案，将纳入绩效自评的项目分配到对应的预算申报</w:t>
      </w:r>
      <w:r>
        <w:rPr>
          <w:rFonts w:hint="eastAsia" w:ascii="仿宋" w:hAnsi="仿宋" w:cstheme="minorBidi"/>
          <w:szCs w:val="32"/>
          <w:lang w:eastAsia="zh-CN"/>
        </w:rPr>
        <w:t>单位</w:t>
      </w:r>
      <w:r>
        <w:rPr>
          <w:rFonts w:hint="eastAsia" w:ascii="仿宋" w:hAnsi="仿宋" w:cstheme="minorBidi"/>
          <w:szCs w:val="32"/>
        </w:rPr>
        <w:t>，</w:t>
      </w:r>
      <w:r>
        <w:rPr>
          <w:rFonts w:hint="eastAsia" w:ascii="仿宋" w:hAnsi="仿宋" w:cstheme="minorBidi"/>
          <w:szCs w:val="32"/>
          <w:lang w:eastAsia="zh-CN"/>
        </w:rPr>
        <w:t>同时</w:t>
      </w:r>
      <w:r>
        <w:rPr>
          <w:rFonts w:hint="eastAsia" w:ascii="仿宋" w:hAnsi="仿宋" w:cstheme="minorBidi"/>
          <w:szCs w:val="32"/>
        </w:rPr>
        <w:t>下发开展绩效自评工作的通知，</w:t>
      </w:r>
      <w:r>
        <w:rPr>
          <w:rFonts w:hint="eastAsia" w:ascii="仿宋" w:hAnsi="仿宋" w:cstheme="minorBidi"/>
          <w:szCs w:val="32"/>
          <w:lang w:eastAsia="zh-CN"/>
        </w:rPr>
        <w:t>建立</w:t>
      </w:r>
      <w:r>
        <w:rPr>
          <w:rFonts w:hint="eastAsia" w:ascii="仿宋" w:hAnsi="仿宋" w:cstheme="minorBidi"/>
          <w:szCs w:val="32"/>
        </w:rPr>
        <w:t>绩效自评的指标体系、工作流程、工作时限、自评结果应用等内容，认真开展绩效自评工作。</w:t>
      </w:r>
    </w:p>
    <w:p>
      <w:pPr>
        <w:ind w:firstLine="640"/>
        <w:rPr>
          <w:rFonts w:hint="eastAsia" w:ascii="仿宋" w:hAnsi="仿宋" w:cstheme="minorBidi"/>
          <w:szCs w:val="32"/>
          <w:lang w:eastAsia="zh-CN"/>
        </w:rPr>
      </w:pPr>
      <w:r>
        <w:rPr>
          <w:rFonts w:hint="eastAsia" w:ascii="仿宋" w:hAnsi="仿宋" w:cstheme="minorBidi"/>
          <w:szCs w:val="32"/>
          <w:lang w:eastAsia="zh-CN"/>
        </w:rPr>
        <w:t>依据</w:t>
      </w:r>
      <w:r>
        <w:rPr>
          <w:rFonts w:hint="eastAsia" w:ascii="仿宋" w:hAnsi="仿宋" w:cstheme="minorBidi"/>
          <w:szCs w:val="32"/>
          <w:lang w:val="en-US" w:eastAsia="zh-CN"/>
        </w:rPr>
        <w:t>《石家庄市市级部门预算项目绩效自评管理办法》（石财绩〔2020〕5号）</w:t>
      </w:r>
      <w:r>
        <w:rPr>
          <w:rFonts w:hint="eastAsia" w:ascii="仿宋" w:hAnsi="仿宋" w:cstheme="minorBidi"/>
          <w:szCs w:val="32"/>
          <w:lang w:eastAsia="zh-CN"/>
        </w:rPr>
        <w:t>，确定部门整体支出和项目支出绩效评价共性指标体系框架基础上，结合单位职责及项目特点、项目预算执行情况等要素，补充设计个性指标。以2020年初预算确定的项目绩效目标和绩效指标为依据，通过对相关账目进行核实，对比各绩效指标完成情况，进一步分析和总结，完成《石家庄市市级部门预算项目绩效自评表》我们对项目单位提交的项目绩效自评资料进行收集、统一整理，协调汇总，为下一步开展整体评价提供参考。同时我们对2020年度石家庄时空大数据平台及应用项目进行了重点评价，出具了专项资金绩效评价报告。</w:t>
      </w:r>
    </w:p>
    <w:p>
      <w:pPr>
        <w:adjustRightInd w:val="0"/>
        <w:ind w:firstLine="640"/>
        <w:outlineLvl w:val="1"/>
        <w:rPr>
          <w:rFonts w:ascii="楷体" w:hAnsi="楷体" w:eastAsia="楷体" w:cs="楷体"/>
          <w:bCs/>
          <w:szCs w:val="32"/>
        </w:rPr>
      </w:pPr>
      <w:bookmarkStart w:id="2" w:name="_Toc42596363"/>
      <w:r>
        <w:rPr>
          <w:rFonts w:hint="eastAsia" w:ascii="楷体" w:hAnsi="楷体" w:eastAsia="楷体" w:cs="楷体"/>
          <w:bCs/>
          <w:szCs w:val="32"/>
        </w:rPr>
        <w:t>（二）预算安排及资金拨付</w:t>
      </w:r>
      <w:bookmarkEnd w:id="2"/>
    </w:p>
    <w:p>
      <w:pPr>
        <w:adjustRightInd w:val="0"/>
        <w:ind w:firstLine="640"/>
        <w:rPr>
          <w:color w:val="auto"/>
        </w:rPr>
      </w:pPr>
      <w:r>
        <w:rPr>
          <w:rFonts w:hint="eastAsia"/>
        </w:rPr>
        <w:t>本次参与评价项目共计</w:t>
      </w:r>
      <w:r>
        <w:t>102</w:t>
      </w:r>
      <w:r>
        <w:rPr>
          <w:rFonts w:hint="eastAsia"/>
        </w:rPr>
        <w:t>个，涉及预算资金</w:t>
      </w:r>
      <w:r>
        <w:t>672816.21</w:t>
      </w:r>
      <w:r>
        <w:rPr>
          <w:rFonts w:hint="eastAsia"/>
        </w:rPr>
        <w:t>万元。评价项目到位资金</w:t>
      </w:r>
      <w:r>
        <w:t>672816.21</w:t>
      </w:r>
      <w:r>
        <w:rPr>
          <w:rFonts w:hint="eastAsia"/>
        </w:rPr>
        <w:t>万元，支出资金</w:t>
      </w:r>
      <w:r>
        <w:rPr>
          <w:color w:val="auto"/>
        </w:rPr>
        <w:t>67</w:t>
      </w:r>
      <w:r>
        <w:rPr>
          <w:rFonts w:hint="eastAsia"/>
          <w:color w:val="auto"/>
          <w:lang w:val="en-US" w:eastAsia="zh-CN"/>
        </w:rPr>
        <w:t>20</w:t>
      </w:r>
      <w:r>
        <w:rPr>
          <w:color w:val="auto"/>
        </w:rPr>
        <w:t>24.04</w:t>
      </w:r>
      <w:r>
        <w:rPr>
          <w:rFonts w:hint="eastAsia"/>
          <w:color w:val="auto"/>
        </w:rPr>
        <w:t>万元，结余资金</w:t>
      </w:r>
      <w:r>
        <w:rPr>
          <w:rFonts w:hint="eastAsia"/>
          <w:color w:val="auto"/>
          <w:lang w:val="en-US" w:eastAsia="zh-CN"/>
        </w:rPr>
        <w:t>792.17</w:t>
      </w:r>
      <w:r>
        <w:rPr>
          <w:rFonts w:hint="eastAsia"/>
          <w:color w:val="auto"/>
        </w:rPr>
        <w:t>万元于年末交回财政。</w:t>
      </w:r>
    </w:p>
    <w:p>
      <w:pPr>
        <w:adjustRightInd w:val="0"/>
        <w:ind w:firstLine="640"/>
        <w:outlineLvl w:val="1"/>
        <w:rPr>
          <w:rFonts w:ascii="楷体" w:hAnsi="楷体" w:eastAsia="楷体" w:cs="楷体"/>
          <w:bCs/>
          <w:szCs w:val="32"/>
        </w:rPr>
      </w:pPr>
      <w:bookmarkStart w:id="3" w:name="_Toc42596364"/>
      <w:r>
        <w:rPr>
          <w:rFonts w:hint="eastAsia" w:ascii="楷体" w:hAnsi="楷体" w:eastAsia="楷体" w:cs="楷体"/>
          <w:bCs/>
          <w:szCs w:val="32"/>
        </w:rPr>
        <w:t>（三）制度建设</w:t>
      </w:r>
      <w:bookmarkEnd w:id="3"/>
    </w:p>
    <w:p>
      <w:pPr>
        <w:ind w:firstLine="640"/>
      </w:pPr>
      <w:r>
        <w:rPr>
          <w:rFonts w:hint="eastAsia"/>
          <w:lang w:eastAsia="zh-CN"/>
        </w:rPr>
        <w:t>我</w:t>
      </w:r>
      <w:r>
        <w:rPr>
          <w:rFonts w:hint="eastAsia"/>
        </w:rPr>
        <w:t>局严格遵守《中华人民共和国预算法》、《中华人民共和国会计法》等法律法规及市财政局有关财政财务的规章制度，规范管理财政资金，量入为出，统筹兼顾，突出重点，讲究实效，防范风险，合理使用专项资金，确保预算绩效管理成效，并制定了</w:t>
      </w:r>
      <w:r>
        <w:rPr>
          <w:rFonts w:hint="eastAsia" w:ascii="仿宋_GB2312" w:hAnsi="仿宋_GB2312" w:eastAsia="仿宋_GB2312" w:cs="仿宋_GB2312"/>
        </w:rPr>
        <w:t>《资金支出</w:t>
      </w:r>
      <w:r>
        <w:rPr>
          <w:rFonts w:ascii="仿宋_GB2312" w:hAnsi="仿宋_GB2312" w:eastAsia="仿宋_GB2312" w:cs="仿宋_GB2312"/>
        </w:rPr>
        <w:t>使用管理暂行办法</w:t>
      </w:r>
      <w:r>
        <w:rPr>
          <w:rFonts w:hint="eastAsia" w:ascii="仿宋_GB2312" w:hAnsi="仿宋_GB2312" w:eastAsia="仿宋_GB2312" w:cs="仿宋_GB2312"/>
        </w:rPr>
        <w:t>》、《政府采购</w:t>
      </w:r>
      <w:r>
        <w:rPr>
          <w:rFonts w:ascii="仿宋_GB2312" w:hAnsi="仿宋_GB2312" w:eastAsia="仿宋_GB2312" w:cs="仿宋_GB2312"/>
        </w:rPr>
        <w:t>工作</w:t>
      </w:r>
      <w:r>
        <w:rPr>
          <w:rFonts w:hint="eastAsia" w:ascii="仿宋_GB2312" w:hAnsi="仿宋_GB2312" w:eastAsia="仿宋_GB2312" w:cs="仿宋_GB2312"/>
        </w:rPr>
        <w:t>管理</w:t>
      </w:r>
      <w:r>
        <w:rPr>
          <w:rFonts w:ascii="仿宋_GB2312" w:hAnsi="仿宋_GB2312" w:eastAsia="仿宋_GB2312" w:cs="仿宋_GB2312"/>
        </w:rPr>
        <w:t>暂行办法</w:t>
      </w:r>
      <w:r>
        <w:rPr>
          <w:rFonts w:hint="eastAsia" w:ascii="仿宋_GB2312" w:hAnsi="仿宋_GB2312" w:eastAsia="仿宋_GB2312" w:cs="仿宋_GB2312"/>
        </w:rPr>
        <w:t>》</w:t>
      </w:r>
      <w:r>
        <w:rPr>
          <w:rFonts w:hint="eastAsia" w:ascii="仿宋_GB2312" w:hAnsi="仿宋_GB2312" w:eastAsia="仿宋_GB2312" w:cs="宋体"/>
        </w:rPr>
        <w:t>等相关制度，</w:t>
      </w:r>
      <w:r>
        <w:rPr>
          <w:rFonts w:hint="eastAsia"/>
        </w:rPr>
        <w:t>对资金</w:t>
      </w:r>
      <w:r>
        <w:t>支出</w:t>
      </w:r>
      <w:r>
        <w:rPr>
          <w:rFonts w:hint="eastAsia" w:ascii="仿宋_GB2312" w:hAnsi="仿宋_GB2312" w:eastAsia="仿宋_GB2312" w:cs="仿宋_GB2312"/>
        </w:rPr>
        <w:t>进行了规范。同时</w:t>
      </w:r>
      <w:r>
        <w:rPr>
          <w:rFonts w:hint="eastAsia"/>
        </w:rPr>
        <w:t>加强程序管理，严格审批程序，重点关注项目绩效情况，并定期组织专项监督检查，确保账面数字真实、项目流程完整，效益真实可见。</w:t>
      </w:r>
    </w:p>
    <w:p>
      <w:pPr>
        <w:snapToGrid w:val="0"/>
        <w:ind w:firstLine="640"/>
        <w:outlineLvl w:val="0"/>
        <w:rPr>
          <w:rFonts w:ascii="黑体" w:hAnsi="黑体" w:eastAsia="黑体" w:cs="黑体"/>
          <w:szCs w:val="32"/>
        </w:rPr>
      </w:pPr>
      <w:bookmarkStart w:id="4" w:name="_Toc42596365"/>
      <w:r>
        <w:rPr>
          <w:rFonts w:hint="eastAsia" w:ascii="黑体" w:hAnsi="黑体" w:eastAsia="黑体" w:cs="黑体"/>
          <w:szCs w:val="32"/>
        </w:rPr>
        <w:t>二、绩效目标实现情况</w:t>
      </w:r>
      <w:bookmarkEnd w:id="4"/>
    </w:p>
    <w:p>
      <w:pPr>
        <w:numPr>
          <w:ilvl w:val="0"/>
          <w:numId w:val="1"/>
        </w:numPr>
        <w:adjustRightInd w:val="0"/>
        <w:ind w:firstLine="640"/>
        <w:outlineLvl w:val="1"/>
        <w:rPr>
          <w:rFonts w:ascii="楷体" w:hAnsi="楷体" w:eastAsia="楷体" w:cs="楷体"/>
          <w:bCs/>
          <w:szCs w:val="32"/>
        </w:rPr>
      </w:pPr>
      <w:bookmarkStart w:id="5" w:name="_Toc42596366"/>
      <w:r>
        <w:rPr>
          <w:rFonts w:hint="eastAsia" w:ascii="楷体" w:hAnsi="楷体" w:eastAsia="楷体" w:cs="楷体"/>
          <w:bCs/>
          <w:szCs w:val="32"/>
        </w:rPr>
        <w:t>绩效目标完成情况</w:t>
      </w:r>
      <w:bookmarkEnd w:id="5"/>
    </w:p>
    <w:p>
      <w:pPr>
        <w:ind w:firstLine="640"/>
        <w:rPr>
          <w:bCs/>
        </w:rPr>
      </w:pPr>
      <w:r>
        <w:rPr>
          <w:rFonts w:hint="eastAsia"/>
          <w:lang w:eastAsia="zh-CN"/>
        </w:rPr>
        <w:t>我</w:t>
      </w:r>
      <w:r>
        <w:rPr>
          <w:rFonts w:hint="eastAsia"/>
        </w:rPr>
        <w:t>局及下属各单位根据20</w:t>
      </w:r>
      <w:r>
        <w:t>20</w:t>
      </w:r>
      <w:r>
        <w:rPr>
          <w:rFonts w:hint="eastAsia"/>
        </w:rPr>
        <w:t>年工作计划，认真履行职责，较好地完成了年初确定的各项工作任务，为全市自然资源和规划事业再上新台阶，全力服务保障全市经济社会发展大局提供强有力的支撑。具体</w:t>
      </w:r>
      <w:r>
        <w:rPr>
          <w:rFonts w:hint="eastAsia"/>
          <w:bCs/>
        </w:rPr>
        <w:t>完成了如下工作：</w:t>
      </w:r>
    </w:p>
    <w:p>
      <w:pPr>
        <w:ind w:firstLine="640"/>
        <w:rPr>
          <w:bCs/>
        </w:rPr>
      </w:pPr>
      <w:r>
        <w:rPr>
          <w:rFonts w:hint="eastAsia"/>
          <w:bCs/>
        </w:rPr>
        <w:t>1、顺利完成土地收储工作</w:t>
      </w:r>
    </w:p>
    <w:p>
      <w:pPr>
        <w:snapToGrid w:val="0"/>
        <w:ind w:firstLine="640"/>
        <w:rPr>
          <w:bCs/>
        </w:rPr>
      </w:pPr>
      <w:r>
        <w:rPr>
          <w:rFonts w:hint="eastAsia"/>
          <w:bCs/>
        </w:rPr>
        <w:t>2020年共安排了35个土地收储项目，预算资金593559.53万元，预算执行率为100%。为保障该工作的顺利开展，我局制定了《石家庄市辖区2020年度土地储备计划》（范围包括主城区、栾城片区、藁城片区、鹿泉区），科学分解土地收储任务，组织各区扎实开展净地收储工作。截至年底，共完成收储4767.78亩，不断拓展土地收储空间，实现了土地收储精准有效为城市建设发展服务。</w:t>
      </w:r>
    </w:p>
    <w:p>
      <w:pPr>
        <w:numPr>
          <w:ilvl w:val="0"/>
          <w:numId w:val="2"/>
        </w:numPr>
        <w:snapToGrid w:val="0"/>
        <w:ind w:firstLine="640"/>
        <w:rPr>
          <w:bCs/>
        </w:rPr>
      </w:pPr>
      <w:r>
        <w:rPr>
          <w:rFonts w:hint="eastAsia"/>
          <w:bCs/>
        </w:rPr>
        <w:t>优化城市空间布局结构，提升城市品质形象</w:t>
      </w:r>
    </w:p>
    <w:p>
      <w:pPr>
        <w:snapToGrid w:val="0"/>
        <w:ind w:firstLine="640"/>
        <w:rPr>
          <w:bCs/>
        </w:rPr>
      </w:pPr>
      <w:r>
        <w:rPr>
          <w:rFonts w:hint="eastAsia"/>
          <w:bCs/>
        </w:rPr>
        <w:t>我局采取修订并完善《石家庄市建筑风貌控制管理技术导则（试行）》和制定《石家庄市居住区建筑风貌与容积率挂钩管理规定》等指导性文件，在全国首次将项目建设强度与建筑风貌品质进行挂钩，强化区域风貌和城市设计管控。具体开展了“石家庄市中心城区控制性详细规划动态维护”等项目，对石家庄中心城区30平方公里控制性详细规划进行新编、修编、动态维护等工作，服务于石家庄市及市辖区内旧城改造、城中村改造、棚户区改造和新区建设等城市各种项目开发建设需要。</w:t>
      </w:r>
    </w:p>
    <w:p>
      <w:pPr>
        <w:numPr>
          <w:ilvl w:val="0"/>
          <w:numId w:val="2"/>
        </w:numPr>
        <w:snapToGrid w:val="0"/>
        <w:ind w:firstLine="640"/>
        <w:rPr>
          <w:bCs/>
        </w:rPr>
      </w:pPr>
      <w:r>
        <w:rPr>
          <w:rFonts w:hint="eastAsia"/>
          <w:bCs/>
        </w:rPr>
        <w:t>国土空间规划编制取得初步成果</w:t>
      </w:r>
    </w:p>
    <w:p>
      <w:pPr>
        <w:snapToGrid w:val="0"/>
        <w:ind w:firstLine="640"/>
        <w:rPr>
          <w:bCs/>
        </w:rPr>
      </w:pPr>
      <w:r>
        <w:rPr>
          <w:bCs/>
        </w:rPr>
        <w:t>严格按照市委、市政府的工作部署，坚持“多规合一、全域覆盖，生态优先、绿色发展，因地制宜、创新发展”的原则，实行市、县、乡、村规划</w:t>
      </w:r>
      <w:r>
        <w:rPr>
          <w:rFonts w:hint="eastAsia"/>
          <w:bCs/>
        </w:rPr>
        <w:t>“</w:t>
      </w:r>
      <w:r>
        <w:rPr>
          <w:bCs/>
        </w:rPr>
        <w:t>四级联动、压茬推进</w:t>
      </w:r>
      <w:r>
        <w:rPr>
          <w:rFonts w:hint="eastAsia"/>
          <w:bCs/>
        </w:rPr>
        <w:t>”</w:t>
      </w:r>
      <w:r>
        <w:rPr>
          <w:bCs/>
        </w:rPr>
        <w:t>，同步开展了16个专题研究、33个专项规划。目前我市国土空间总体规划已形成初步成果并通过了省自然资源厅专家技术审查</w:t>
      </w:r>
      <w:r>
        <w:rPr>
          <w:rFonts w:hint="eastAsia"/>
          <w:bCs/>
        </w:rPr>
        <w:t>。具体开展了“石家庄市规划属性信息调查”、“石家庄市国土空间等规划编制”、“石家庄市国土空间规划‘一张图’实施监督信息系统（一期）”等项目，</w:t>
      </w:r>
      <w:r>
        <w:rPr>
          <w:bCs/>
        </w:rPr>
        <w:t>通过对规划区以及其他城建区域的地形图填加国土空间规划属性信息，满足空间规划信息化管理的需要，服务于城市总体规划、详细性规划以及规划实施效果评估，为政府决策以及局相关处室、单位日常规划业务开展提供</w:t>
      </w:r>
      <w:r>
        <w:rPr>
          <w:rFonts w:hint="eastAsia"/>
          <w:bCs/>
        </w:rPr>
        <w:t>了</w:t>
      </w:r>
      <w:r>
        <w:rPr>
          <w:bCs/>
        </w:rPr>
        <w:t>基础数据。完成</w:t>
      </w:r>
      <w:r>
        <w:rPr>
          <w:rFonts w:hint="eastAsia"/>
          <w:bCs/>
        </w:rPr>
        <w:t>了</w:t>
      </w:r>
      <w:r>
        <w:rPr>
          <w:bCs/>
        </w:rPr>
        <w:t>石家庄市国土空间主规划编制初步方案和两个专题研究，开展</w:t>
      </w:r>
      <w:r>
        <w:rPr>
          <w:rFonts w:hint="eastAsia"/>
          <w:bCs/>
        </w:rPr>
        <w:t>了</w:t>
      </w:r>
      <w:r>
        <w:rPr>
          <w:bCs/>
        </w:rPr>
        <w:t>国土空间开发保护现状评估，生态保护重要性评价和农业生产适宜性评价</w:t>
      </w:r>
      <w:r>
        <w:rPr>
          <w:rFonts w:hint="eastAsia"/>
          <w:bCs/>
        </w:rPr>
        <w:t>等工作</w:t>
      </w:r>
      <w:r>
        <w:rPr>
          <w:bCs/>
        </w:rPr>
        <w:t>。</w:t>
      </w:r>
    </w:p>
    <w:p>
      <w:pPr>
        <w:numPr>
          <w:ilvl w:val="0"/>
          <w:numId w:val="2"/>
        </w:numPr>
        <w:snapToGrid w:val="0"/>
        <w:ind w:firstLine="640"/>
        <w:rPr>
          <w:bCs/>
        </w:rPr>
      </w:pPr>
      <w:r>
        <w:rPr>
          <w:rFonts w:hint="eastAsia"/>
          <w:bCs/>
        </w:rPr>
        <w:t>深入推进矿山综合治理工作</w:t>
      </w:r>
    </w:p>
    <w:p>
      <w:pPr>
        <w:snapToGrid w:val="0"/>
        <w:ind w:firstLine="640"/>
        <w:rPr>
          <w:bCs/>
        </w:rPr>
      </w:pPr>
      <w:r>
        <w:rPr>
          <w:rFonts w:hint="eastAsia"/>
          <w:bCs/>
        </w:rPr>
        <w:t>为</w:t>
      </w:r>
      <w:r>
        <w:rPr>
          <w:bCs/>
        </w:rPr>
        <w:t>全面、适时、准确掌握2019年度矿山矿产资源储量保有、动用情况</w:t>
      </w:r>
      <w:r>
        <w:rPr>
          <w:rFonts w:hint="eastAsia"/>
          <w:bCs/>
        </w:rPr>
        <w:t>，开展了“石家庄市矿山储量动态监测”项目，</w:t>
      </w:r>
      <w:r>
        <w:rPr>
          <w:bCs/>
        </w:rPr>
        <w:t>对抽选重点矿山行现场检查，评价原报告内容与实地是否吻合，掌握矿山和编制年报真实情况</w:t>
      </w:r>
      <w:r>
        <w:rPr>
          <w:rFonts w:hint="eastAsia"/>
          <w:bCs/>
        </w:rPr>
        <w:t>、另外，</w:t>
      </w:r>
      <w:r>
        <w:rPr>
          <w:bCs/>
        </w:rPr>
        <w:t>出具石家庄市矿山储量监测报告，加强矿产资源勘查开采的监督管理，为监督矿山企业是否合理利用矿产资源提供依据。</w:t>
      </w:r>
      <w:r>
        <w:rPr>
          <w:rFonts w:hint="eastAsia"/>
          <w:bCs/>
        </w:rPr>
        <w:t>开展“石家庄市矿产资源储量报告评审”项目，完成</w:t>
      </w:r>
      <w:r>
        <w:rPr>
          <w:bCs/>
        </w:rPr>
        <w:t>矿产资源储量报告评审</w:t>
      </w:r>
      <w:r>
        <w:rPr>
          <w:rFonts w:hint="eastAsia"/>
          <w:bCs/>
        </w:rPr>
        <w:t>工作</w:t>
      </w:r>
      <w:r>
        <w:rPr>
          <w:bCs/>
        </w:rPr>
        <w:t>，进一步规范矿业权科学管理，保障和促进矿产资源的合理开发利用和保护。</w:t>
      </w:r>
      <w:r>
        <w:rPr>
          <w:rFonts w:hint="eastAsia"/>
          <w:bCs/>
        </w:rPr>
        <w:t>对</w:t>
      </w:r>
      <w:r>
        <w:rPr>
          <w:bCs/>
        </w:rPr>
        <w:t>全市所有持有勘查许可证、采矿许可证矿业权人进行信息公示，抽取一定比例开展实地核查、实地测量，将核查结果记录在矿业权人公示信息中。</w:t>
      </w:r>
    </w:p>
    <w:p>
      <w:pPr>
        <w:numPr>
          <w:ilvl w:val="0"/>
          <w:numId w:val="2"/>
        </w:numPr>
        <w:snapToGrid w:val="0"/>
        <w:ind w:firstLine="640"/>
        <w:rPr>
          <w:bCs/>
        </w:rPr>
      </w:pPr>
      <w:r>
        <w:rPr>
          <w:rFonts w:hint="eastAsia"/>
          <w:bCs/>
        </w:rPr>
        <w:t>搭建数据平台，提高信息化水平</w:t>
      </w:r>
    </w:p>
    <w:p>
      <w:pPr>
        <w:snapToGrid w:val="0"/>
        <w:ind w:firstLine="640"/>
        <w:rPr>
          <w:bCs/>
        </w:rPr>
      </w:pPr>
      <w:r>
        <w:rPr>
          <w:rFonts w:hint="eastAsia"/>
          <w:bCs/>
        </w:rPr>
        <w:t>今年开展多个项目，完成石家庄市土地二级市场系统二期建设投入并正常使用；完成2020年度石家庄市不动产登记信息化建设投入并正常使用；完成标准规范、数据建库、时空大数据平台建设，并完成部分数据采集内容。完成石家庄市时空大数据平台建设，为智慧城市建设提供可靠保障；完成了石家庄市自然资源管理平台的硬件购置及软件开发工作，构建全局统一的自然资源管理系统，提高市局信息化水平。</w:t>
      </w:r>
    </w:p>
    <w:p>
      <w:pPr>
        <w:snapToGrid w:val="0"/>
        <w:ind w:firstLine="640"/>
        <w:rPr>
          <w:bCs/>
        </w:rPr>
      </w:pPr>
      <w:r>
        <w:rPr>
          <w:rFonts w:hint="eastAsia"/>
          <w:bCs/>
        </w:rPr>
        <w:t>参与本次评价的项目共计102个，其中9</w:t>
      </w:r>
      <w:r>
        <w:rPr>
          <w:rFonts w:hint="eastAsia"/>
          <w:bCs/>
          <w:lang w:val="en-US" w:eastAsia="zh-CN"/>
        </w:rPr>
        <w:t>4</w:t>
      </w:r>
      <w:r>
        <w:rPr>
          <w:rFonts w:hint="eastAsia"/>
          <w:bCs/>
        </w:rPr>
        <w:t>个项目评价等级为“优秀”，</w:t>
      </w:r>
      <w:r>
        <w:rPr>
          <w:rFonts w:hint="eastAsia"/>
          <w:bCs/>
          <w:lang w:val="en-US" w:eastAsia="zh-CN"/>
        </w:rPr>
        <w:t>2</w:t>
      </w:r>
      <w:r>
        <w:rPr>
          <w:rFonts w:hint="eastAsia"/>
          <w:bCs/>
        </w:rPr>
        <w:t>个项目评价等级为“良好”，2个项目评价等级为“一般”，4个项目评价等级为“较差”。</w:t>
      </w:r>
    </w:p>
    <w:p>
      <w:pPr>
        <w:ind w:firstLine="640"/>
      </w:pPr>
      <w:r>
        <w:rPr>
          <w:rFonts w:hint="eastAsia"/>
        </w:rPr>
        <w:t>总体来看，我部门绩效工作完成较好，绩效评价结果达到为“良好”以上的占据总体项目数量的94.12%，评价等级为“一般”的项目仍有上升空间，评价等级为“较差”的项目占总体数量的4%，主要原因是受疫情影响无法正常开展，进而未发生相应的资金支出。</w:t>
      </w:r>
    </w:p>
    <w:p>
      <w:pPr>
        <w:adjustRightInd w:val="0"/>
        <w:ind w:firstLine="640"/>
        <w:outlineLvl w:val="1"/>
        <w:rPr>
          <w:rFonts w:ascii="楷体" w:hAnsi="楷体" w:eastAsia="楷体" w:cs="楷体"/>
          <w:bCs/>
          <w:szCs w:val="32"/>
        </w:rPr>
      </w:pPr>
      <w:bookmarkStart w:id="6" w:name="_Toc42596367"/>
      <w:r>
        <w:rPr>
          <w:rFonts w:hint="eastAsia" w:ascii="楷体" w:hAnsi="楷体" w:eastAsia="楷体" w:cs="楷体"/>
          <w:bCs/>
          <w:szCs w:val="32"/>
        </w:rPr>
        <w:t>（二）存在问题</w:t>
      </w:r>
      <w:bookmarkEnd w:id="6"/>
    </w:p>
    <w:p>
      <w:pPr>
        <w:ind w:firstLine="640"/>
        <w:rPr>
          <w:rFonts w:hint="eastAsia"/>
        </w:rPr>
      </w:pPr>
      <w:bookmarkStart w:id="7" w:name="_Toc42596369"/>
      <w:r>
        <w:rPr>
          <w:rFonts w:hint="eastAsia" w:ascii="仿宋" w:hAnsi="仿宋" w:cs="仿宋"/>
          <w:b w:val="0"/>
          <w:bCs/>
          <w:szCs w:val="32"/>
        </w:rPr>
        <w:t>个别项目预算执行进度</w:t>
      </w:r>
      <w:bookmarkEnd w:id="7"/>
      <w:r>
        <w:rPr>
          <w:rFonts w:hint="eastAsia" w:ascii="仿宋" w:hAnsi="仿宋" w:cs="仿宋"/>
          <w:b w:val="0"/>
          <w:bCs/>
          <w:szCs w:val="32"/>
          <w:lang w:eastAsia="zh-CN"/>
        </w:rPr>
        <w:t>较慢，</w:t>
      </w:r>
      <w:r>
        <w:rPr>
          <w:rFonts w:hint="eastAsia"/>
        </w:rPr>
        <w:t>一是个别</w:t>
      </w:r>
      <w:r>
        <w:t>项目因</w:t>
      </w:r>
      <w:r>
        <w:rPr>
          <w:rFonts w:hint="eastAsia"/>
        </w:rPr>
        <w:t>部分场地</w:t>
      </w:r>
      <w:r>
        <w:t>被纳入拆迁改造</w:t>
      </w:r>
      <w:r>
        <w:rPr>
          <w:rFonts w:hint="eastAsia"/>
        </w:rPr>
        <w:t>范围、</w:t>
      </w:r>
      <w:r>
        <w:t>国家对房地产政策调控</w:t>
      </w:r>
      <w:r>
        <w:rPr>
          <w:rFonts w:hint="eastAsia"/>
        </w:rPr>
        <w:t>等政策</w:t>
      </w:r>
      <w:r>
        <w:t>性因素</w:t>
      </w:r>
      <w:r>
        <w:rPr>
          <w:rFonts w:hint="eastAsia"/>
        </w:rPr>
        <w:t>使得项目完成度</w:t>
      </w:r>
      <w:r>
        <w:t>不高，进而预算执行率偏低</w:t>
      </w:r>
      <w:r>
        <w:rPr>
          <w:rFonts w:hint="eastAsia"/>
        </w:rPr>
        <w:t>；</w:t>
      </w:r>
      <w:r>
        <w:t>二是因为个别项目因</w:t>
      </w:r>
      <w:r>
        <w:rPr>
          <w:rFonts w:hint="eastAsia"/>
        </w:rPr>
        <w:t>调查</w:t>
      </w:r>
      <w:r>
        <w:t>工作开展较慢，</w:t>
      </w:r>
      <w:r>
        <w:rPr>
          <w:rFonts w:hint="eastAsia"/>
        </w:rPr>
        <w:t>未能</w:t>
      </w:r>
      <w:r>
        <w:t>及时确定</w:t>
      </w:r>
      <w:r>
        <w:rPr>
          <w:rFonts w:hint="eastAsia"/>
        </w:rPr>
        <w:t>可匹配</w:t>
      </w:r>
      <w:r>
        <w:t>型号，导致采购项目</w:t>
      </w:r>
      <w:r>
        <w:rPr>
          <w:rFonts w:hint="eastAsia"/>
        </w:rPr>
        <w:t>未能</w:t>
      </w:r>
      <w:r>
        <w:t>如期开展。</w:t>
      </w:r>
    </w:p>
    <w:p>
      <w:pPr>
        <w:snapToGrid w:val="0"/>
        <w:ind w:firstLine="640"/>
        <w:outlineLvl w:val="0"/>
        <w:rPr>
          <w:rFonts w:ascii="黑体" w:hAnsi="黑体" w:eastAsia="黑体" w:cs="黑体"/>
          <w:szCs w:val="32"/>
        </w:rPr>
      </w:pPr>
      <w:bookmarkStart w:id="8" w:name="_Toc42596370"/>
      <w:r>
        <w:rPr>
          <w:rFonts w:hint="eastAsia" w:ascii="黑体" w:hAnsi="黑体" w:eastAsia="黑体" w:cs="黑体"/>
          <w:szCs w:val="32"/>
        </w:rPr>
        <w:t>三、绩效目标设定质量情况</w:t>
      </w:r>
      <w:bookmarkEnd w:id="8"/>
    </w:p>
    <w:p>
      <w:pPr>
        <w:ind w:firstLine="640"/>
      </w:pPr>
      <w:r>
        <w:rPr>
          <w:rFonts w:hint="eastAsia"/>
          <w:lang w:eastAsia="zh-CN"/>
        </w:rPr>
        <w:t>我</w:t>
      </w:r>
      <w:r>
        <w:rPr>
          <w:rFonts w:hint="eastAsia"/>
        </w:rPr>
        <w:t>局在市委、市政府的正确领导下，坚持以习近平新时代中国特色社会主义思想为指导，坚持落实疫情防控和自然资源和规划工作两手抓、两手硬，以要素保障和资源保护为重点，以构建管理体系为支撑，以改革创新为动力，做好局内年初各项计划工作。</w:t>
      </w:r>
    </w:p>
    <w:p>
      <w:pPr>
        <w:ind w:firstLine="640"/>
        <w:rPr>
          <w:rFonts w:ascii="仿宋" w:hAnsi="仿宋" w:cs="仿宋"/>
          <w:szCs w:val="32"/>
        </w:rPr>
      </w:pPr>
      <w:r>
        <w:rPr>
          <w:rFonts w:hint="eastAsia"/>
        </w:rPr>
        <w:t>为积极落实各项目，设定合理可行的绩效目标并设定相关指标。目标设定符合</w:t>
      </w:r>
      <w:r>
        <w:rPr>
          <w:rFonts w:hint="eastAsia" w:ascii="仿宋" w:hAnsi="仿宋" w:cs="仿宋"/>
          <w:szCs w:val="32"/>
        </w:rPr>
        <w:t>国家、省、市有关行业的方针、政策和法律、法规，上级有关规定和我市经济发展实际需要。与局内履行所有国土空间用途管制职责、全市自然资源统一确权登记工作、</w:t>
      </w:r>
      <w:r>
        <w:rPr>
          <w:rFonts w:ascii="微软雅黑" w:hAnsi="微软雅黑"/>
          <w:shd w:val="clear" w:color="auto" w:fill="FFFFFF"/>
        </w:rPr>
        <w:t>土地征收征用管理</w:t>
      </w:r>
      <w:r>
        <w:rPr>
          <w:rFonts w:hint="eastAsia" w:ascii="微软雅黑" w:hAnsi="微软雅黑"/>
          <w:shd w:val="clear" w:color="auto" w:fill="FFFFFF"/>
        </w:rPr>
        <w:t>、贯彻执行耕地保护政策、地质灾害预防和治理、</w:t>
      </w:r>
      <w:r>
        <w:rPr>
          <w:rFonts w:ascii="微软雅黑" w:hAnsi="微软雅黑"/>
          <w:shd w:val="clear" w:color="auto" w:fill="FFFFFF"/>
        </w:rPr>
        <w:t>矿产资源管理工作</w:t>
      </w:r>
      <w:r>
        <w:rPr>
          <w:rFonts w:hint="eastAsia" w:ascii="微软雅黑" w:hAnsi="微软雅黑"/>
          <w:shd w:val="clear" w:color="auto" w:fill="FFFFFF"/>
        </w:rPr>
        <w:t>等</w:t>
      </w:r>
      <w:r>
        <w:rPr>
          <w:rFonts w:hint="eastAsia" w:ascii="仿宋" w:hAnsi="仿宋" w:cs="仿宋"/>
          <w:szCs w:val="32"/>
        </w:rPr>
        <w:t>职责息息相关，且预期效益符合其依据水平。绩效目标设定了产出、预算执行率、效果、满意度四项一级指标，并下设二级指标和三级指标对绩效目标进行细化、量化。</w:t>
      </w:r>
    </w:p>
    <w:p>
      <w:pPr>
        <w:snapToGrid w:val="0"/>
        <w:ind w:firstLine="640"/>
        <w:outlineLvl w:val="0"/>
        <w:rPr>
          <w:rFonts w:ascii="黑体" w:hAnsi="黑体" w:eastAsia="黑体" w:cs="黑体"/>
          <w:szCs w:val="32"/>
        </w:rPr>
      </w:pPr>
      <w:bookmarkStart w:id="9" w:name="_Toc42596371"/>
      <w:r>
        <w:rPr>
          <w:rFonts w:hint="eastAsia" w:ascii="黑体" w:hAnsi="黑体" w:eastAsia="黑体" w:cs="黑体"/>
          <w:szCs w:val="32"/>
        </w:rPr>
        <w:t>四、整改措施及结果应用</w:t>
      </w:r>
      <w:bookmarkEnd w:id="9"/>
    </w:p>
    <w:p>
      <w:pPr>
        <w:adjustRightInd w:val="0"/>
        <w:ind w:firstLine="640"/>
        <w:outlineLvl w:val="1"/>
        <w:rPr>
          <w:rFonts w:ascii="楷体" w:hAnsi="楷体" w:eastAsia="楷体" w:cs="楷体"/>
          <w:bCs/>
          <w:szCs w:val="32"/>
        </w:rPr>
      </w:pPr>
      <w:bookmarkStart w:id="10" w:name="_Toc42596372"/>
      <w:r>
        <w:rPr>
          <w:rFonts w:hint="eastAsia" w:ascii="楷体" w:hAnsi="楷体" w:eastAsia="楷体" w:cs="楷体"/>
          <w:bCs/>
          <w:szCs w:val="32"/>
        </w:rPr>
        <w:t>（一）完善预算考核</w:t>
      </w:r>
      <w:bookmarkEnd w:id="10"/>
    </w:p>
    <w:p>
      <w:pPr>
        <w:ind w:firstLine="640"/>
      </w:pPr>
      <w:r>
        <w:rPr>
          <w:rFonts w:hint="eastAsia"/>
        </w:rPr>
        <w:t>进一步加强各单位的预算资金管理，既要做好前期调研</w:t>
      </w:r>
      <w:r>
        <w:t>，细化预算</w:t>
      </w:r>
      <w:r>
        <w:rPr>
          <w:rFonts w:hint="eastAsia"/>
        </w:rPr>
        <w:t>指标</w:t>
      </w:r>
      <w:r>
        <w:t>，制定更加科学的预算</w:t>
      </w:r>
      <w:r>
        <w:rPr>
          <w:rFonts w:hint="eastAsia"/>
        </w:rPr>
        <w:t>，又要加大对预算编制与执行的监督管理力度，提高预算资金使用效率。同时，提高各单位对预算资金使用效益的认识，把预算资金是否发挥使用效益与各岗位是否履职尽责相结合，将预算资金使用的效率和效益作为对各单位工作考核评价的重要内容之一。</w:t>
      </w:r>
    </w:p>
    <w:p>
      <w:pPr>
        <w:adjustRightInd w:val="0"/>
        <w:ind w:firstLine="640"/>
        <w:outlineLvl w:val="1"/>
        <w:rPr>
          <w:rFonts w:ascii="楷体" w:hAnsi="楷体" w:eastAsia="楷体" w:cs="楷体"/>
          <w:bCs/>
          <w:szCs w:val="32"/>
        </w:rPr>
      </w:pPr>
      <w:bookmarkStart w:id="11" w:name="_Toc42596373"/>
      <w:r>
        <w:rPr>
          <w:rFonts w:hint="eastAsia" w:ascii="楷体" w:hAnsi="楷体" w:eastAsia="楷体" w:cs="楷体"/>
          <w:bCs/>
          <w:szCs w:val="32"/>
        </w:rPr>
        <w:t>（二）</w:t>
      </w:r>
      <w:r>
        <w:rPr>
          <w:rFonts w:hint="eastAsia" w:ascii="楷体" w:hAnsi="楷体" w:eastAsia="楷体" w:cs="楷体"/>
          <w:bCs/>
          <w:szCs w:val="32"/>
          <w:lang w:eastAsia="zh-CN"/>
        </w:rPr>
        <w:t>提高</w:t>
      </w:r>
      <w:r>
        <w:rPr>
          <w:rFonts w:hint="eastAsia" w:ascii="楷体" w:hAnsi="楷体" w:eastAsia="楷体" w:cs="楷体"/>
          <w:bCs/>
          <w:szCs w:val="32"/>
        </w:rPr>
        <w:t>资金使用效率</w:t>
      </w:r>
      <w:bookmarkEnd w:id="11"/>
    </w:p>
    <w:p>
      <w:pPr>
        <w:ind w:firstLine="640"/>
      </w:pPr>
      <w:r>
        <w:rPr>
          <w:rFonts w:hint="eastAsia"/>
        </w:rPr>
        <w:t>设立绩效目标要充分考虑外界因素的影响，减少项目中途调整，又要抓紧与相关部门沟通，建议资金按需下拨，避免资金结余造成闲置。避免在下一年度开展绩效工作时出现类似情况，从而导致无法完成年度绩效指标的情况发生。</w:t>
      </w:r>
    </w:p>
    <w:p>
      <w:pPr>
        <w:adjustRightInd w:val="0"/>
        <w:ind w:firstLine="640"/>
        <w:outlineLvl w:val="1"/>
        <w:rPr>
          <w:rFonts w:ascii="楷体" w:hAnsi="楷体" w:eastAsia="楷体" w:cs="楷体"/>
          <w:bCs/>
          <w:szCs w:val="32"/>
        </w:rPr>
      </w:pPr>
      <w:bookmarkStart w:id="12" w:name="_Toc42596374"/>
      <w:r>
        <w:rPr>
          <w:rFonts w:hint="eastAsia" w:ascii="楷体" w:hAnsi="楷体" w:eastAsia="楷体" w:cs="楷体"/>
          <w:bCs/>
          <w:szCs w:val="32"/>
        </w:rPr>
        <w:t>（三）重视结果应用</w:t>
      </w:r>
      <w:bookmarkEnd w:id="12"/>
    </w:p>
    <w:p>
      <w:pPr>
        <w:keepNext w:val="0"/>
        <w:keepLines w:val="0"/>
        <w:pageBreakBefore w:val="0"/>
        <w:kinsoku/>
        <w:wordWrap/>
        <w:overflowPunct/>
        <w:topLinePunct w:val="0"/>
        <w:autoSpaceDN/>
        <w:bidi w:val="0"/>
        <w:adjustRightInd/>
        <w:spacing w:before="157" w:beforeLines="50" w:after="157" w:afterLines="50" w:line="540" w:lineRule="exact"/>
        <w:ind w:firstLine="42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针</w:t>
      </w:r>
      <w:r>
        <w:rPr>
          <w:rFonts w:hint="eastAsia" w:ascii="仿宋_GB2312" w:hAnsi="仿宋_GB2312" w:eastAsia="仿宋_GB2312" w:cs="仿宋_GB2312"/>
          <w:sz w:val="32"/>
          <w:szCs w:val="32"/>
        </w:rPr>
        <w:t>对各个项目绩效自评情况进行及时整理、归纳、分析，将其作为改善我局预算管理工作和安排以后年度预算的依据。同时</w:t>
      </w:r>
      <w:r>
        <w:rPr>
          <w:rFonts w:hint="eastAsia"/>
        </w:rPr>
        <w:t>重视绩效评价工作，切实发挥绩效评价结果应用的作用，</w:t>
      </w:r>
      <w:r>
        <w:rPr>
          <w:rFonts w:hint="eastAsia" w:ascii="仿宋_GB2312" w:hAnsi="仿宋_GB2312" w:eastAsia="仿宋_GB2312" w:cs="仿宋_GB2312"/>
          <w:sz w:val="32"/>
          <w:szCs w:val="32"/>
        </w:rPr>
        <w:t>不断完善绩效评价指标，逐步建立符合我局工作特点的绩效评价指标体系。</w:t>
      </w:r>
    </w:p>
    <w:p>
      <w:pPr>
        <w:keepNext w:val="0"/>
        <w:keepLines w:val="0"/>
        <w:pageBreakBefore w:val="0"/>
        <w:kinsoku/>
        <w:wordWrap/>
        <w:overflowPunct/>
        <w:topLinePunct w:val="0"/>
        <w:autoSpaceDN/>
        <w:bidi w:val="0"/>
        <w:adjustRightInd/>
        <w:spacing w:before="157" w:beforeLines="50" w:after="157" w:afterLines="50" w:line="540" w:lineRule="exact"/>
        <w:ind w:firstLine="420"/>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N/>
        <w:bidi w:val="0"/>
        <w:adjustRightInd/>
        <w:spacing w:before="157" w:beforeLines="50" w:after="157" w:afterLines="50" w:line="540" w:lineRule="exact"/>
        <w:ind w:firstLine="420"/>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N/>
        <w:bidi w:val="0"/>
        <w:adjustRightInd/>
        <w:spacing w:before="157" w:beforeLines="50" w:after="157" w:afterLines="50" w:line="540" w:lineRule="exact"/>
        <w:ind w:firstLine="42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石家庄市自然资源和规划局</w:t>
      </w:r>
    </w:p>
    <w:p>
      <w:pPr>
        <w:keepNext w:val="0"/>
        <w:keepLines w:val="0"/>
        <w:pageBreakBefore w:val="0"/>
        <w:kinsoku/>
        <w:wordWrap/>
        <w:overflowPunct/>
        <w:topLinePunct w:val="0"/>
        <w:autoSpaceDN/>
        <w:bidi w:val="0"/>
        <w:adjustRightInd/>
        <w:spacing w:before="157" w:beforeLines="50" w:after="157" w:afterLines="50" w:line="540" w:lineRule="exact"/>
        <w:ind w:firstLine="42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2021年9月9日</w:t>
      </w:r>
    </w:p>
    <w:p>
      <w:pPr>
        <w:keepNext w:val="0"/>
        <w:keepLines w:val="0"/>
        <w:pageBreakBefore w:val="0"/>
        <w:kinsoku/>
        <w:wordWrap/>
        <w:overflowPunct/>
        <w:topLinePunct w:val="0"/>
        <w:autoSpaceDN/>
        <w:bidi w:val="0"/>
        <w:adjustRightInd/>
        <w:spacing w:before="157" w:beforeLines="50" w:after="157" w:afterLines="50" w:line="540" w:lineRule="exact"/>
        <w:ind w:firstLine="420"/>
        <w:textAlignment w:val="auto"/>
        <w:rPr>
          <w:rFonts w:hint="eastAsia" w:ascii="仿宋_GB2312" w:hAnsi="仿宋_GB2312" w:eastAsia="仿宋_GB2312" w:cs="仿宋_GB2312"/>
          <w:sz w:val="32"/>
          <w:szCs w:val="32"/>
        </w:rPr>
      </w:pPr>
      <w:bookmarkStart w:id="13" w:name="_GoBack"/>
      <w:bookmarkEnd w:id="13"/>
    </w:p>
    <w:p>
      <w:pPr>
        <w:keepNext w:val="0"/>
        <w:keepLines w:val="0"/>
        <w:pageBreakBefore w:val="0"/>
        <w:kinsoku/>
        <w:wordWrap/>
        <w:overflowPunct/>
        <w:topLinePunct w:val="0"/>
        <w:autoSpaceDN/>
        <w:bidi w:val="0"/>
        <w:adjustRightInd/>
        <w:spacing w:before="157" w:beforeLines="50" w:after="157" w:afterLines="50" w:line="540" w:lineRule="exact"/>
        <w:ind w:left="0" w:leftChars="0" w:firstLine="0" w:firstLineChars="0"/>
        <w:textAlignment w:val="auto"/>
        <w:rPr>
          <w:rFonts w:hint="eastAsia" w:ascii="仿宋_GB2312" w:hAnsi="仿宋_GB2312" w:eastAsia="仿宋_GB2312" w:cs="仿宋_GB2312"/>
          <w:sz w:val="32"/>
          <w:szCs w:val="32"/>
        </w:rPr>
      </w:pPr>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pgNumType w:start="1"/>
      <w:cols w:space="720"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jc w:val="center"/>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76FD429"/>
    <w:multiLevelType w:val="singleLevel"/>
    <w:tmpl w:val="E76FD429"/>
    <w:lvl w:ilvl="0" w:tentative="0">
      <w:start w:val="2"/>
      <w:numFmt w:val="decimal"/>
      <w:suff w:val="nothing"/>
      <w:lvlText w:val="%1、"/>
      <w:lvlJc w:val="left"/>
    </w:lvl>
  </w:abstractNum>
  <w:abstractNum w:abstractNumId="1">
    <w:nsid w:val="4117E710"/>
    <w:multiLevelType w:val="singleLevel"/>
    <w:tmpl w:val="4117E71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60"/>
  <w:drawingGridVerticalSpacing w:val="435"/>
  <w:displayHorizont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07AEB"/>
    <w:rsid w:val="0002746B"/>
    <w:rsid w:val="0004174C"/>
    <w:rsid w:val="00053EE7"/>
    <w:rsid w:val="00060254"/>
    <w:rsid w:val="0009376E"/>
    <w:rsid w:val="000C57C2"/>
    <w:rsid w:val="000D29F1"/>
    <w:rsid w:val="000E5F7D"/>
    <w:rsid w:val="00102D20"/>
    <w:rsid w:val="00136051"/>
    <w:rsid w:val="00142BFC"/>
    <w:rsid w:val="001570D5"/>
    <w:rsid w:val="00162692"/>
    <w:rsid w:val="001627CF"/>
    <w:rsid w:val="00176210"/>
    <w:rsid w:val="00182110"/>
    <w:rsid w:val="001A5F4B"/>
    <w:rsid w:val="001B0D66"/>
    <w:rsid w:val="001D2D4C"/>
    <w:rsid w:val="001D4C2F"/>
    <w:rsid w:val="001E3233"/>
    <w:rsid w:val="001F30EC"/>
    <w:rsid w:val="002123A4"/>
    <w:rsid w:val="002215CC"/>
    <w:rsid w:val="0023200E"/>
    <w:rsid w:val="002457B5"/>
    <w:rsid w:val="00264F81"/>
    <w:rsid w:val="002660C3"/>
    <w:rsid w:val="002705E0"/>
    <w:rsid w:val="00277AC9"/>
    <w:rsid w:val="002843C4"/>
    <w:rsid w:val="002A53F2"/>
    <w:rsid w:val="002D66D7"/>
    <w:rsid w:val="002F4153"/>
    <w:rsid w:val="00304B3A"/>
    <w:rsid w:val="00321570"/>
    <w:rsid w:val="00332540"/>
    <w:rsid w:val="00372F6C"/>
    <w:rsid w:val="00383AC5"/>
    <w:rsid w:val="00385D96"/>
    <w:rsid w:val="003B412A"/>
    <w:rsid w:val="003D5508"/>
    <w:rsid w:val="003E552E"/>
    <w:rsid w:val="003E645F"/>
    <w:rsid w:val="003F5715"/>
    <w:rsid w:val="003F5DB9"/>
    <w:rsid w:val="004036FB"/>
    <w:rsid w:val="00432709"/>
    <w:rsid w:val="00452019"/>
    <w:rsid w:val="00453C65"/>
    <w:rsid w:val="00463248"/>
    <w:rsid w:val="00467A18"/>
    <w:rsid w:val="00490A82"/>
    <w:rsid w:val="00491FCD"/>
    <w:rsid w:val="004A1CC2"/>
    <w:rsid w:val="004B208C"/>
    <w:rsid w:val="004C3D6E"/>
    <w:rsid w:val="004D258C"/>
    <w:rsid w:val="004D47B3"/>
    <w:rsid w:val="004E6C05"/>
    <w:rsid w:val="004F6F9F"/>
    <w:rsid w:val="004F7874"/>
    <w:rsid w:val="00521132"/>
    <w:rsid w:val="00525713"/>
    <w:rsid w:val="00536B01"/>
    <w:rsid w:val="00546BCB"/>
    <w:rsid w:val="005740C3"/>
    <w:rsid w:val="005743F9"/>
    <w:rsid w:val="00594783"/>
    <w:rsid w:val="005A242E"/>
    <w:rsid w:val="005C236C"/>
    <w:rsid w:val="005E6EC9"/>
    <w:rsid w:val="00613084"/>
    <w:rsid w:val="00655C68"/>
    <w:rsid w:val="0066352C"/>
    <w:rsid w:val="00665896"/>
    <w:rsid w:val="006700E6"/>
    <w:rsid w:val="00671739"/>
    <w:rsid w:val="00692CD3"/>
    <w:rsid w:val="00693CB1"/>
    <w:rsid w:val="00697ACE"/>
    <w:rsid w:val="006B3C85"/>
    <w:rsid w:val="006C4102"/>
    <w:rsid w:val="006E3707"/>
    <w:rsid w:val="006F7E95"/>
    <w:rsid w:val="00702118"/>
    <w:rsid w:val="007044E8"/>
    <w:rsid w:val="0071336C"/>
    <w:rsid w:val="0071475B"/>
    <w:rsid w:val="007270DA"/>
    <w:rsid w:val="007358D4"/>
    <w:rsid w:val="00736CD7"/>
    <w:rsid w:val="00743042"/>
    <w:rsid w:val="00747861"/>
    <w:rsid w:val="00751F42"/>
    <w:rsid w:val="007745DA"/>
    <w:rsid w:val="00782641"/>
    <w:rsid w:val="00784AC6"/>
    <w:rsid w:val="007869A0"/>
    <w:rsid w:val="00786C85"/>
    <w:rsid w:val="00793214"/>
    <w:rsid w:val="007A2751"/>
    <w:rsid w:val="007B7CB0"/>
    <w:rsid w:val="007D43DA"/>
    <w:rsid w:val="007E50DB"/>
    <w:rsid w:val="007E661D"/>
    <w:rsid w:val="007F56DE"/>
    <w:rsid w:val="007F5EE6"/>
    <w:rsid w:val="007F74D3"/>
    <w:rsid w:val="00803078"/>
    <w:rsid w:val="0081138B"/>
    <w:rsid w:val="0081530B"/>
    <w:rsid w:val="008614CF"/>
    <w:rsid w:val="0088680F"/>
    <w:rsid w:val="008A7EF8"/>
    <w:rsid w:val="008B6E41"/>
    <w:rsid w:val="008C31C3"/>
    <w:rsid w:val="008E0E58"/>
    <w:rsid w:val="008F33DB"/>
    <w:rsid w:val="00900107"/>
    <w:rsid w:val="00911A3A"/>
    <w:rsid w:val="009204BE"/>
    <w:rsid w:val="009266F2"/>
    <w:rsid w:val="00936582"/>
    <w:rsid w:val="00941865"/>
    <w:rsid w:val="00986803"/>
    <w:rsid w:val="00995103"/>
    <w:rsid w:val="0099577A"/>
    <w:rsid w:val="009E3B5F"/>
    <w:rsid w:val="009F1522"/>
    <w:rsid w:val="00A012A0"/>
    <w:rsid w:val="00A06D88"/>
    <w:rsid w:val="00A31003"/>
    <w:rsid w:val="00A42F8E"/>
    <w:rsid w:val="00A53159"/>
    <w:rsid w:val="00A543C8"/>
    <w:rsid w:val="00A71D68"/>
    <w:rsid w:val="00AB70A8"/>
    <w:rsid w:val="00AF5C06"/>
    <w:rsid w:val="00B139C6"/>
    <w:rsid w:val="00B3179D"/>
    <w:rsid w:val="00B32D58"/>
    <w:rsid w:val="00B50720"/>
    <w:rsid w:val="00B50755"/>
    <w:rsid w:val="00B8177D"/>
    <w:rsid w:val="00B86365"/>
    <w:rsid w:val="00BC1D8F"/>
    <w:rsid w:val="00BC245A"/>
    <w:rsid w:val="00BC5EF3"/>
    <w:rsid w:val="00BD6AB3"/>
    <w:rsid w:val="00BE032C"/>
    <w:rsid w:val="00C14C8E"/>
    <w:rsid w:val="00C242EC"/>
    <w:rsid w:val="00C30104"/>
    <w:rsid w:val="00C5579B"/>
    <w:rsid w:val="00C65FE0"/>
    <w:rsid w:val="00C73F21"/>
    <w:rsid w:val="00C86041"/>
    <w:rsid w:val="00C968DC"/>
    <w:rsid w:val="00CB669F"/>
    <w:rsid w:val="00CE156F"/>
    <w:rsid w:val="00D24988"/>
    <w:rsid w:val="00D33317"/>
    <w:rsid w:val="00D41315"/>
    <w:rsid w:val="00D4139B"/>
    <w:rsid w:val="00D53603"/>
    <w:rsid w:val="00D73465"/>
    <w:rsid w:val="00D803CD"/>
    <w:rsid w:val="00DA3D9D"/>
    <w:rsid w:val="00DA48DD"/>
    <w:rsid w:val="00DB7F15"/>
    <w:rsid w:val="00DE28A8"/>
    <w:rsid w:val="00DE50A2"/>
    <w:rsid w:val="00DF6FF4"/>
    <w:rsid w:val="00E17D5D"/>
    <w:rsid w:val="00E24793"/>
    <w:rsid w:val="00E4107C"/>
    <w:rsid w:val="00E4201E"/>
    <w:rsid w:val="00E50C8C"/>
    <w:rsid w:val="00E5222E"/>
    <w:rsid w:val="00E60123"/>
    <w:rsid w:val="00E61BFC"/>
    <w:rsid w:val="00E63C51"/>
    <w:rsid w:val="00E701F3"/>
    <w:rsid w:val="00E841B7"/>
    <w:rsid w:val="00E87D36"/>
    <w:rsid w:val="00E94E8A"/>
    <w:rsid w:val="00EC5481"/>
    <w:rsid w:val="00ED5E84"/>
    <w:rsid w:val="00ED7A91"/>
    <w:rsid w:val="00EE52B6"/>
    <w:rsid w:val="00EF16A3"/>
    <w:rsid w:val="00F17502"/>
    <w:rsid w:val="00F23748"/>
    <w:rsid w:val="00F53DE8"/>
    <w:rsid w:val="00F57E52"/>
    <w:rsid w:val="00F90885"/>
    <w:rsid w:val="00FA1794"/>
    <w:rsid w:val="00FB7D46"/>
    <w:rsid w:val="00FD0A89"/>
    <w:rsid w:val="01CB5ABD"/>
    <w:rsid w:val="03910CC7"/>
    <w:rsid w:val="0501632F"/>
    <w:rsid w:val="0B8A63CF"/>
    <w:rsid w:val="10E10435"/>
    <w:rsid w:val="11B45F52"/>
    <w:rsid w:val="13B61930"/>
    <w:rsid w:val="15F82BF4"/>
    <w:rsid w:val="1D6A319C"/>
    <w:rsid w:val="234D1FE1"/>
    <w:rsid w:val="273C6032"/>
    <w:rsid w:val="2B6808C8"/>
    <w:rsid w:val="2DCD4D95"/>
    <w:rsid w:val="30057751"/>
    <w:rsid w:val="323361E4"/>
    <w:rsid w:val="35B13F22"/>
    <w:rsid w:val="389A110F"/>
    <w:rsid w:val="3AEF6FE7"/>
    <w:rsid w:val="3C1769A2"/>
    <w:rsid w:val="446B5554"/>
    <w:rsid w:val="482915AB"/>
    <w:rsid w:val="493B718D"/>
    <w:rsid w:val="4A8245ED"/>
    <w:rsid w:val="4B075FC2"/>
    <w:rsid w:val="4F024105"/>
    <w:rsid w:val="52676A34"/>
    <w:rsid w:val="53A42ADD"/>
    <w:rsid w:val="55645FE4"/>
    <w:rsid w:val="5F7F75BD"/>
    <w:rsid w:val="69EA27C5"/>
    <w:rsid w:val="6CE00CEF"/>
    <w:rsid w:val="6F6B6B97"/>
    <w:rsid w:val="761725CF"/>
    <w:rsid w:val="78AD3142"/>
    <w:rsid w:val="7B7E05EC"/>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0"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0" w:semiHidden="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0"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qFormat="1" w:uiPriority="0" w:semiHidden="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semiHidden="0" w:name="Balloon Text"/>
    <w:lsdException w:uiPriority="59"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200" w:firstLineChars="200"/>
      <w:jc w:val="both"/>
    </w:pPr>
    <w:rPr>
      <w:rFonts w:ascii="Times New Roman" w:hAnsi="Times New Roman" w:eastAsia="仿宋" w:cs="Times New Roman"/>
      <w:kern w:val="2"/>
      <w:sz w:val="32"/>
      <w:szCs w:val="24"/>
      <w:lang w:val="en-US" w:eastAsia="zh-CN" w:bidi="ar-SA"/>
    </w:rPr>
  </w:style>
  <w:style w:type="paragraph" w:styleId="2">
    <w:name w:val="heading 1"/>
    <w:basedOn w:val="1"/>
    <w:next w:val="1"/>
    <w:link w:val="31"/>
    <w:qFormat/>
    <w:uiPriority w:val="9"/>
    <w:pPr>
      <w:keepNext/>
      <w:keepLines/>
      <w:spacing w:before="340" w:after="330" w:line="578" w:lineRule="atLeast"/>
      <w:outlineLvl w:val="0"/>
    </w:pPr>
    <w:rPr>
      <w:b/>
      <w:bCs/>
      <w:kern w:val="44"/>
      <w:sz w:val="44"/>
      <w:szCs w:val="44"/>
    </w:rPr>
  </w:style>
  <w:style w:type="paragraph" w:styleId="3">
    <w:name w:val="heading 3"/>
    <w:basedOn w:val="1"/>
    <w:next w:val="1"/>
    <w:unhideWhenUsed/>
    <w:qFormat/>
    <w:uiPriority w:val="9"/>
    <w:pPr>
      <w:keepNext/>
      <w:keepLines/>
      <w:spacing w:before="260" w:after="260" w:line="413" w:lineRule="auto"/>
      <w:outlineLvl w:val="2"/>
    </w:pPr>
    <w:rPr>
      <w:b/>
    </w:rPr>
  </w:style>
  <w:style w:type="character" w:default="1" w:styleId="13">
    <w:name w:val="Default Paragraph Font"/>
    <w:unhideWhenUsed/>
    <w:qFormat/>
    <w:uiPriority w:val="1"/>
  </w:style>
  <w:style w:type="table" w:default="1" w:styleId="18">
    <w:name w:val="Normal Table"/>
    <w:unhideWhenUsed/>
    <w:uiPriority w:val="99"/>
    <w:tblPr>
      <w:tblLayout w:type="fixed"/>
      <w:tblCellMar>
        <w:top w:w="0" w:type="dxa"/>
        <w:left w:w="108" w:type="dxa"/>
        <w:bottom w:w="0" w:type="dxa"/>
        <w:right w:w="108" w:type="dxa"/>
      </w:tblCellMar>
    </w:tblPr>
  </w:style>
  <w:style w:type="paragraph" w:styleId="4">
    <w:name w:val="annotation text"/>
    <w:basedOn w:val="1"/>
    <w:unhideWhenUsed/>
    <w:qFormat/>
    <w:uiPriority w:val="0"/>
    <w:pPr>
      <w:jc w:val="left"/>
    </w:pPr>
  </w:style>
  <w:style w:type="paragraph" w:styleId="5">
    <w:name w:val="toc 3"/>
    <w:basedOn w:val="1"/>
    <w:next w:val="1"/>
    <w:unhideWhenUsed/>
    <w:qFormat/>
    <w:uiPriority w:val="39"/>
    <w:pPr>
      <w:ind w:left="840" w:leftChars="400"/>
    </w:pPr>
  </w:style>
  <w:style w:type="paragraph" w:styleId="6">
    <w:name w:val="Balloon Text"/>
    <w:basedOn w:val="1"/>
    <w:link w:val="22"/>
    <w:unhideWhenUsed/>
    <w:qFormat/>
    <w:uiPriority w:val="0"/>
    <w:rPr>
      <w:sz w:val="18"/>
      <w:szCs w:val="18"/>
    </w:rPr>
  </w:style>
  <w:style w:type="paragraph" w:styleId="7">
    <w:name w:val="footer"/>
    <w:basedOn w:val="1"/>
    <w:link w:val="20"/>
    <w:unhideWhenUsed/>
    <w:qFormat/>
    <w:uiPriority w:val="99"/>
    <w:pPr>
      <w:tabs>
        <w:tab w:val="center" w:pos="4153"/>
        <w:tab w:val="right" w:pos="8306"/>
      </w:tabs>
      <w:snapToGrid w:val="0"/>
      <w:jc w:val="left"/>
    </w:pPr>
    <w:rPr>
      <w:sz w:val="18"/>
      <w:szCs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0"/>
  </w:style>
  <w:style w:type="paragraph" w:styleId="10">
    <w:name w:val="toc 2"/>
    <w:basedOn w:val="1"/>
    <w:next w:val="1"/>
    <w:unhideWhenUsed/>
    <w:qFormat/>
    <w:uiPriority w:val="39"/>
    <w:pPr>
      <w:ind w:left="420" w:leftChars="200"/>
    </w:pPr>
  </w:style>
  <w:style w:type="paragraph" w:styleId="11">
    <w:name w:val="Normal (Web)"/>
    <w:basedOn w:val="1"/>
    <w:unhideWhenUsed/>
    <w:qFormat/>
    <w:uiPriority w:val="0"/>
    <w:pPr>
      <w:jc w:val="left"/>
    </w:pPr>
    <w:rPr>
      <w:rFonts w:ascii="微软雅黑" w:hAnsi="微软雅黑" w:eastAsia="微软雅黑"/>
      <w:kern w:val="0"/>
      <w:sz w:val="24"/>
    </w:rPr>
  </w:style>
  <w:style w:type="paragraph" w:styleId="12">
    <w:name w:val="Title"/>
    <w:basedOn w:val="1"/>
    <w:next w:val="1"/>
    <w:link w:val="29"/>
    <w:qFormat/>
    <w:uiPriority w:val="0"/>
    <w:pPr>
      <w:spacing w:before="240" w:after="60" w:line="240" w:lineRule="auto"/>
      <w:ind w:firstLine="0" w:firstLineChars="0"/>
      <w:jc w:val="center"/>
      <w:outlineLvl w:val="0"/>
    </w:pPr>
    <w:rPr>
      <w:rFonts w:ascii="Cambria" w:hAnsi="Cambria" w:eastAsia="宋体"/>
      <w:b/>
      <w:kern w:val="28"/>
      <w:szCs w:val="20"/>
    </w:rPr>
  </w:style>
  <w:style w:type="character" w:styleId="14">
    <w:name w:val="FollowedHyperlink"/>
    <w:basedOn w:val="13"/>
    <w:unhideWhenUsed/>
    <w:qFormat/>
    <w:uiPriority w:val="0"/>
    <w:rPr>
      <w:color w:val="333333"/>
      <w:u w:val="none"/>
    </w:rPr>
  </w:style>
  <w:style w:type="character" w:styleId="15">
    <w:name w:val="Emphasis"/>
    <w:basedOn w:val="13"/>
    <w:qFormat/>
    <w:uiPriority w:val="20"/>
    <w:rPr>
      <w:rFonts w:hint="eastAsia" w:ascii="微软雅黑" w:hAnsi="微软雅黑" w:eastAsia="微软雅黑" w:cs="微软雅黑"/>
    </w:rPr>
  </w:style>
  <w:style w:type="character" w:styleId="16">
    <w:name w:val="Hyperlink"/>
    <w:basedOn w:val="13"/>
    <w:unhideWhenUsed/>
    <w:qFormat/>
    <w:uiPriority w:val="99"/>
    <w:rPr>
      <w:color w:val="333333"/>
      <w:u w:val="none"/>
    </w:rPr>
  </w:style>
  <w:style w:type="character" w:styleId="17">
    <w:name w:val="annotation reference"/>
    <w:basedOn w:val="13"/>
    <w:unhideWhenUsed/>
    <w:qFormat/>
    <w:uiPriority w:val="0"/>
    <w:rPr>
      <w:sz w:val="21"/>
      <w:szCs w:val="21"/>
    </w:rPr>
  </w:style>
  <w:style w:type="character" w:customStyle="1" w:styleId="19">
    <w:name w:val="页眉 字符"/>
    <w:basedOn w:val="13"/>
    <w:link w:val="8"/>
    <w:qFormat/>
    <w:uiPriority w:val="99"/>
    <w:rPr>
      <w:sz w:val="18"/>
      <w:szCs w:val="18"/>
    </w:rPr>
  </w:style>
  <w:style w:type="character" w:customStyle="1" w:styleId="20">
    <w:name w:val="页脚 字符"/>
    <w:basedOn w:val="13"/>
    <w:link w:val="7"/>
    <w:qFormat/>
    <w:uiPriority w:val="99"/>
    <w:rPr>
      <w:sz w:val="18"/>
      <w:szCs w:val="18"/>
    </w:rPr>
  </w:style>
  <w:style w:type="paragraph" w:customStyle="1" w:styleId="21">
    <w:name w:val="List Paragraph"/>
    <w:basedOn w:val="1"/>
    <w:unhideWhenUsed/>
    <w:qFormat/>
    <w:uiPriority w:val="99"/>
    <w:pPr>
      <w:ind w:firstLine="420"/>
    </w:pPr>
  </w:style>
  <w:style w:type="character" w:customStyle="1" w:styleId="22">
    <w:name w:val="批注框文本 字符"/>
    <w:basedOn w:val="13"/>
    <w:link w:val="6"/>
    <w:semiHidden/>
    <w:qFormat/>
    <w:uiPriority w:val="0"/>
    <w:rPr>
      <w:kern w:val="2"/>
      <w:sz w:val="18"/>
      <w:szCs w:val="18"/>
    </w:rPr>
  </w:style>
  <w:style w:type="character" w:customStyle="1" w:styleId="23">
    <w:name w:val="text"/>
    <w:basedOn w:val="13"/>
    <w:qFormat/>
    <w:uiPriority w:val="0"/>
    <w:rPr>
      <w:color w:val="666666"/>
    </w:rPr>
  </w:style>
  <w:style w:type="character" w:customStyle="1" w:styleId="24">
    <w:name w:val="hover20"/>
    <w:basedOn w:val="13"/>
    <w:qFormat/>
    <w:uiPriority w:val="0"/>
    <w:rPr>
      <w:color w:val="000000"/>
      <w:shd w:val="clear" w:color="auto" w:fill="FFFFFF"/>
    </w:rPr>
  </w:style>
  <w:style w:type="character" w:customStyle="1" w:styleId="25">
    <w:name w:val="after"/>
    <w:basedOn w:val="13"/>
    <w:qFormat/>
    <w:uiPriority w:val="0"/>
    <w:rPr>
      <w:shd w:val="clear" w:color="auto" w:fill="FFFFFF"/>
    </w:rPr>
  </w:style>
  <w:style w:type="character" w:customStyle="1" w:styleId="26">
    <w:name w:val="last"/>
    <w:basedOn w:val="13"/>
    <w:qFormat/>
    <w:uiPriority w:val="0"/>
  </w:style>
  <w:style w:type="character" w:customStyle="1" w:styleId="27">
    <w:name w:val="wx-space"/>
    <w:basedOn w:val="13"/>
    <w:qFormat/>
    <w:uiPriority w:val="0"/>
  </w:style>
  <w:style w:type="character" w:customStyle="1" w:styleId="28">
    <w:name w:val="wx-space1"/>
    <w:basedOn w:val="13"/>
    <w:qFormat/>
    <w:uiPriority w:val="0"/>
  </w:style>
  <w:style w:type="character" w:customStyle="1" w:styleId="29">
    <w:name w:val="标题 字符"/>
    <w:link w:val="12"/>
    <w:qFormat/>
    <w:locked/>
    <w:uiPriority w:val="0"/>
    <w:rPr>
      <w:rFonts w:ascii="Cambria" w:hAnsi="Cambria"/>
      <w:b/>
      <w:kern w:val="28"/>
      <w:sz w:val="32"/>
    </w:rPr>
  </w:style>
  <w:style w:type="character" w:customStyle="1" w:styleId="30">
    <w:name w:val="标题 字符1"/>
    <w:basedOn w:val="13"/>
    <w:qFormat/>
    <w:uiPriority w:val="10"/>
    <w:rPr>
      <w:rFonts w:asciiTheme="majorHAnsi" w:hAnsiTheme="majorHAnsi" w:eastAsiaTheme="majorEastAsia" w:cstheme="majorBidi"/>
      <w:b/>
      <w:bCs/>
      <w:kern w:val="2"/>
      <w:sz w:val="32"/>
      <w:szCs w:val="32"/>
    </w:rPr>
  </w:style>
  <w:style w:type="character" w:customStyle="1" w:styleId="31">
    <w:name w:val="标题 1 字符"/>
    <w:basedOn w:val="13"/>
    <w:link w:val="2"/>
    <w:qFormat/>
    <w:uiPriority w:val="9"/>
    <w:rPr>
      <w:rFonts w:eastAsia="仿宋"/>
      <w:b/>
      <w:bCs/>
      <w:kern w:val="44"/>
      <w:sz w:val="44"/>
      <w:szCs w:val="44"/>
    </w:rPr>
  </w:style>
  <w:style w:type="paragraph" w:customStyle="1" w:styleId="32">
    <w:name w:val="TOC 标题1"/>
    <w:basedOn w:val="2"/>
    <w:next w:val="1"/>
    <w:unhideWhenUsed/>
    <w:qFormat/>
    <w:uiPriority w:val="39"/>
    <w:pPr>
      <w:widowControl/>
      <w:spacing w:before="240" w:after="0" w:line="259" w:lineRule="auto"/>
      <w:ind w:firstLine="0" w:firstLineChars="0"/>
      <w:jc w:val="left"/>
      <w:outlineLvl w:val="9"/>
    </w:pPr>
    <w:rPr>
      <w:rFonts w:asciiTheme="majorHAnsi" w:hAnsiTheme="majorHAnsi" w:eastAsiaTheme="majorEastAsia" w:cstheme="majorBidi"/>
      <w:b w:val="0"/>
      <w:bCs w:val="0"/>
      <w:color w:val="376092"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55C2F89-1FE8-43DA-BB05-3B5400440E84}">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549</Words>
  <Characters>3133</Characters>
  <Lines>26</Lines>
  <Paragraphs>7</Paragraphs>
  <ScaleCrop>false</ScaleCrop>
  <LinksUpToDate>false</LinksUpToDate>
  <CharactersWithSpaces>3675</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mj</cp:lastModifiedBy>
  <cp:lastPrinted>2021-06-22T01:10:00Z</cp:lastPrinted>
  <dcterms:modified xsi:type="dcterms:W3CDTF">2021-09-09T01:19:59Z</dcterms:modified>
  <dc:title>附件2： </dc:title>
  <cp:revision>145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C6893EC573134BD09E4F8A200B9BBE24</vt:lpwstr>
  </property>
</Properties>
</file>