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napToGrid w:val="0"/>
        <w:spacing w:line="360" w:lineRule="auto"/>
        <w:rPr>
          <w:rFonts w:ascii="仿宋" w:hAnsi="仿宋" w:eastAsia="仿宋" w:cs="仿宋"/>
          <w:kern w:val="0"/>
          <w:sz w:val="32"/>
          <w:szCs w:val="32"/>
        </w:rPr>
      </w:pPr>
      <w:r>
        <w:rPr>
          <w:rFonts w:hint="eastAsia" w:ascii="仿宋" w:hAnsi="仿宋" w:eastAsia="仿宋" w:cs="仿宋"/>
          <w:kern w:val="0"/>
          <w:sz w:val="32"/>
          <w:szCs w:val="32"/>
        </w:rPr>
        <w:t xml:space="preserve"> </w:t>
      </w:r>
    </w:p>
    <w:p>
      <w:pPr>
        <w:snapToGrid w:val="0"/>
        <w:spacing w:line="360" w:lineRule="auto"/>
        <w:jc w:val="center"/>
        <w:rPr>
          <w:rFonts w:hint="eastAsia" w:ascii="宋体" w:hAnsi="宋体" w:cs="宋体"/>
          <w:b/>
          <w:bCs/>
          <w:kern w:val="0"/>
          <w:sz w:val="44"/>
          <w:szCs w:val="44"/>
        </w:rPr>
      </w:pPr>
      <w:r>
        <w:rPr>
          <w:rFonts w:hint="eastAsia" w:ascii="宋体" w:hAnsi="宋体" w:cs="宋体"/>
          <w:b/>
          <w:bCs/>
          <w:kern w:val="0"/>
          <w:sz w:val="44"/>
          <w:szCs w:val="44"/>
        </w:rPr>
        <w:t>石家庄市人民政府办公室</w:t>
      </w:r>
    </w:p>
    <w:p>
      <w:pPr>
        <w:snapToGrid w:val="0"/>
        <w:spacing w:line="360" w:lineRule="auto"/>
        <w:jc w:val="center"/>
        <w:rPr>
          <w:rFonts w:ascii="宋体" w:hAnsi="宋体" w:cs="宋体"/>
          <w:b/>
          <w:bCs/>
          <w:sz w:val="44"/>
          <w:szCs w:val="44"/>
        </w:rPr>
      </w:pPr>
      <w:r>
        <w:rPr>
          <w:rFonts w:hint="eastAsia" w:ascii="宋体" w:hAnsi="宋体" w:cs="宋体"/>
          <w:b/>
          <w:bCs/>
          <w:kern w:val="0"/>
          <w:sz w:val="44"/>
          <w:szCs w:val="44"/>
        </w:rPr>
        <w:t>2019年度</w:t>
      </w:r>
      <w:r>
        <w:rPr>
          <w:rFonts w:hint="eastAsia" w:ascii="宋体" w:hAnsi="宋体" w:cs="宋体"/>
          <w:b/>
          <w:bCs/>
          <w:sz w:val="44"/>
          <w:szCs w:val="44"/>
        </w:rPr>
        <w:t>绩效自评工作报告</w:t>
      </w:r>
    </w:p>
    <w:p>
      <w:pPr>
        <w:snapToGrid w:val="0"/>
        <w:spacing w:line="360" w:lineRule="auto"/>
        <w:ind w:firstLine="640" w:firstLineChars="200"/>
        <w:rPr>
          <w:rFonts w:ascii="仿宋" w:hAnsi="仿宋" w:eastAsia="仿宋" w:cs="仿宋"/>
          <w:sz w:val="32"/>
          <w:szCs w:val="32"/>
        </w:rPr>
      </w:pPr>
    </w:p>
    <w:p>
      <w:pPr>
        <w:snapToGrid w:val="0"/>
        <w:spacing w:line="360" w:lineRule="auto"/>
        <w:ind w:firstLine="640" w:firstLineChars="200"/>
        <w:rPr>
          <w:rFonts w:ascii="仿宋" w:hAnsi="仿宋" w:eastAsia="仿宋" w:cs="仿宋"/>
          <w:sz w:val="32"/>
          <w:szCs w:val="32"/>
        </w:rPr>
      </w:pPr>
      <w:r>
        <w:rPr>
          <w:rFonts w:hint="eastAsia" w:ascii="仿宋" w:hAnsi="仿宋" w:eastAsia="仿宋" w:cs="仿宋"/>
          <w:sz w:val="32"/>
          <w:szCs w:val="32"/>
        </w:rPr>
        <w:t>为切实做好2019年度部门绩效自评工作，提高财政资金的使用效益，根据《石家庄市市级部门预算项目绩效自评管理办法》、《石家庄市财政局关于开展2019年度财政专项资金部门绩效自评工作的通知》要求，结合工作实际，石家庄市人民政府办公室（以下简称“市政府办公室”）组织专门力量，于2020年5月6日至5月27日期间，对2019年度部门所有预算项目（包括专项项目和专项公用）进行绩效自评。评价采用定性分析与定量分析相结合的方法，从预算管理、预算执行、专项资金使用及项目效益等方面进行了综合评价。现将绩效自评情况报告如下：</w:t>
      </w:r>
    </w:p>
    <w:p>
      <w:pPr>
        <w:snapToGrid w:val="0"/>
        <w:spacing w:line="360" w:lineRule="auto"/>
        <w:ind w:firstLine="640" w:firstLineChars="200"/>
        <w:rPr>
          <w:rFonts w:ascii="黑体" w:hAnsi="黑体" w:eastAsia="黑体" w:cs="黑体"/>
          <w:sz w:val="32"/>
          <w:szCs w:val="32"/>
        </w:rPr>
      </w:pPr>
      <w:r>
        <w:rPr>
          <w:rFonts w:hint="eastAsia" w:ascii="黑体" w:hAnsi="黑体" w:eastAsia="黑体" w:cs="黑体"/>
          <w:sz w:val="32"/>
          <w:szCs w:val="32"/>
        </w:rPr>
        <w:t>一、绩效自评工作组织开展情况</w:t>
      </w:r>
    </w:p>
    <w:p>
      <w:pPr>
        <w:snapToGrid w:val="0"/>
        <w:spacing w:line="360" w:lineRule="auto"/>
        <w:ind w:firstLine="640" w:firstLineChars="200"/>
        <w:rPr>
          <w:rFonts w:ascii="楷体" w:hAnsi="楷体" w:eastAsia="楷体" w:cs="楷体"/>
          <w:sz w:val="32"/>
          <w:szCs w:val="32"/>
        </w:rPr>
      </w:pPr>
      <w:r>
        <w:rPr>
          <w:rFonts w:hint="eastAsia" w:ascii="楷体" w:hAnsi="楷体" w:eastAsia="楷体" w:cs="楷体"/>
          <w:sz w:val="32"/>
          <w:szCs w:val="32"/>
        </w:rPr>
        <w:t>（一）组织与实施</w:t>
      </w:r>
    </w:p>
    <w:p>
      <w:pPr>
        <w:snapToGrid w:val="0"/>
        <w:spacing w:line="360" w:lineRule="auto"/>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市政府办公室高度重视此项自评价工作，抽调人员成立绩效评价工作组开展工作，工作组</w:t>
      </w:r>
      <w:r>
        <w:rPr>
          <w:rFonts w:hint="eastAsia" w:ascii="仿宋_GB2312" w:hAnsi="仿宋_GB2312" w:eastAsia="仿宋_GB2312" w:cs="仿宋_GB2312"/>
          <w:sz w:val="32"/>
          <w:szCs w:val="32"/>
          <w:lang w:eastAsia="zh-CN"/>
        </w:rPr>
        <w:t>由市政府办公室直属单位党委副书记</w:t>
      </w:r>
      <w:r>
        <w:rPr>
          <w:rFonts w:hint="eastAsia" w:ascii="仿宋_GB2312" w:hAnsi="仿宋_GB2312" w:eastAsia="仿宋_GB2312" w:cs="仿宋_GB2312"/>
          <w:sz w:val="32"/>
          <w:szCs w:val="32"/>
        </w:rPr>
        <w:t>刘军团担任组长，行政财务处处长杨彦龙担任副组长，杨献存、王琳、靳敬普为小组成员。</w:t>
      </w:r>
    </w:p>
    <w:p>
      <w:pPr>
        <w:snapToGrid w:val="0"/>
        <w:spacing w:line="360" w:lineRule="auto"/>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按照自评要求，评价工作组制定自评工作方案，明确评价内容、程序及时间安排。组织相关人员召开专题会议，传达自评价工作要求和工作安排，要求项目负责人提前准备评价所需基础信息资料并对资料进行分类整理，积极配合做好自评工作。</w:t>
      </w:r>
    </w:p>
    <w:p>
      <w:pPr>
        <w:snapToGrid w:val="0"/>
        <w:spacing w:line="360" w:lineRule="auto"/>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评价以2019年初预算确定的项目绩效目标和绩效指标为依据，对相关账目进行核实比对，进一步分析和总结绩效指标完成情况，完成《石家庄市市级部门预算项目绩效自评表》的填报，并对2019年市政府公开电话接线员服务外包费项目进行重点评价，出具专项资金绩效评价报告。</w:t>
      </w:r>
    </w:p>
    <w:p>
      <w:pPr>
        <w:snapToGrid w:val="0"/>
        <w:spacing w:line="360" w:lineRule="auto"/>
        <w:ind w:firstLine="640" w:firstLineChars="200"/>
        <w:rPr>
          <w:rFonts w:ascii="楷体" w:hAnsi="楷体" w:eastAsia="楷体" w:cs="楷体"/>
          <w:sz w:val="32"/>
          <w:szCs w:val="32"/>
        </w:rPr>
      </w:pPr>
      <w:bookmarkStart w:id="0" w:name="_Hlk40802777"/>
      <w:r>
        <w:rPr>
          <w:rFonts w:hint="eastAsia" w:ascii="楷体" w:hAnsi="楷体" w:eastAsia="楷体" w:cs="楷体"/>
          <w:sz w:val="32"/>
          <w:szCs w:val="32"/>
        </w:rPr>
        <w:t>（二）预算安排及资金拨付</w:t>
      </w:r>
    </w:p>
    <w:bookmarkEnd w:id="0"/>
    <w:p>
      <w:pPr>
        <w:snapToGrid w:val="0"/>
        <w:spacing w:line="360" w:lineRule="auto"/>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2019年初市财政局批复市</w:t>
      </w:r>
      <w:r>
        <w:rPr>
          <w:rFonts w:hint="eastAsia" w:ascii="仿宋_GB2312" w:hAnsi="仿宋_GB2312" w:eastAsia="仿宋_GB2312" w:cs="仿宋_GB2312"/>
          <w:sz w:val="32"/>
          <w:szCs w:val="32"/>
          <w:lang w:eastAsia="zh-CN"/>
        </w:rPr>
        <w:t>政府</w:t>
      </w:r>
      <w:r>
        <w:rPr>
          <w:rFonts w:hint="eastAsia" w:ascii="仿宋_GB2312" w:hAnsi="仿宋_GB2312" w:eastAsia="仿宋_GB2312" w:cs="仿宋_GB2312"/>
          <w:sz w:val="32"/>
          <w:szCs w:val="32"/>
        </w:rPr>
        <w:t>办公室23个项目，涉及预算调整资金2229.33万元，其中：专项公用416.8万元，专项项目1812.53万元,年预算资金支出</w:t>
      </w:r>
      <w:r>
        <w:rPr>
          <w:rFonts w:ascii="仿宋_GB2312" w:hAnsi="仿宋_GB2312" w:eastAsia="仿宋_GB2312" w:cs="仿宋_GB2312"/>
          <w:sz w:val="32"/>
          <w:szCs w:val="32"/>
        </w:rPr>
        <w:t>1387.66</w:t>
      </w:r>
      <w:r>
        <w:rPr>
          <w:rFonts w:hint="eastAsia" w:ascii="仿宋_GB2312" w:hAnsi="仿宋_GB2312" w:eastAsia="仿宋_GB2312" w:cs="仿宋_GB2312"/>
          <w:sz w:val="32"/>
          <w:szCs w:val="32"/>
        </w:rPr>
        <w:t>万元，当年预算资金支出2133.48万元，结余95.85万元于2019年末上交财政。</w:t>
      </w:r>
    </w:p>
    <w:p>
      <w:pPr>
        <w:snapToGrid w:val="0"/>
        <w:spacing w:line="360" w:lineRule="auto"/>
        <w:ind w:firstLine="640" w:firstLineChars="200"/>
        <w:rPr>
          <w:rFonts w:ascii="楷体" w:hAnsi="楷体" w:eastAsia="楷体" w:cs="楷体"/>
          <w:sz w:val="32"/>
          <w:szCs w:val="32"/>
        </w:rPr>
      </w:pPr>
      <w:r>
        <w:rPr>
          <w:rFonts w:hint="eastAsia" w:ascii="楷体" w:hAnsi="楷体" w:eastAsia="楷体" w:cs="楷体"/>
          <w:sz w:val="32"/>
          <w:szCs w:val="32"/>
        </w:rPr>
        <w:t>（三）制度建设</w:t>
      </w:r>
    </w:p>
    <w:p>
      <w:pPr>
        <w:snapToGrid w:val="0"/>
        <w:spacing w:line="360" w:lineRule="auto"/>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市政府办公室依照《中华人民共和国预算法》、《中华人民共和国会计法》等法律法规及市财政局有关预算管理和资金管理制度办法，加强资金支付审批管理，制定《石家庄市人民政府办公室财务制度》，明确项目资金管理的原则，加强资金使用管理，定期监督检查资金使用合规性、支出进度，确保账面数字真实，资金使用规范化。</w:t>
      </w:r>
    </w:p>
    <w:p>
      <w:pPr>
        <w:snapToGrid w:val="0"/>
        <w:spacing w:line="360" w:lineRule="auto"/>
        <w:ind w:firstLine="640" w:firstLineChars="200"/>
        <w:rPr>
          <w:rFonts w:ascii="黑体" w:hAnsi="黑体" w:eastAsia="黑体" w:cs="黑体"/>
          <w:sz w:val="32"/>
          <w:szCs w:val="32"/>
        </w:rPr>
      </w:pPr>
      <w:r>
        <w:rPr>
          <w:rFonts w:hint="eastAsia" w:ascii="黑体" w:hAnsi="黑体" w:eastAsia="黑体" w:cs="黑体"/>
          <w:sz w:val="32"/>
          <w:szCs w:val="32"/>
        </w:rPr>
        <w:t>二、绩效目标实现情况</w:t>
      </w:r>
    </w:p>
    <w:p>
      <w:pPr>
        <w:snapToGrid w:val="0"/>
        <w:spacing w:line="360" w:lineRule="auto"/>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本次评价项目共23项，评价等级均为“优”。</w:t>
      </w:r>
    </w:p>
    <w:p>
      <w:pPr>
        <w:snapToGrid w:val="0"/>
        <w:spacing w:line="360" w:lineRule="auto"/>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我办2019年度主要完成以下工作：通过政府采购，购置一批计算机、打印机、家用家具等设备，保障办公室正常业务工作的开展；成功化解矛盾率高达90%，创造良好、和谐、稳定的社会环境；组织2次研修班培训，参与研修班培训共计110人次；市政府公开电话全年共受处市民诉求来电130.9万次；编报《市政府公开电话日报》261期、《要情快报》8期、《供暖专报》12期；向省第一督察组、市委效能办、市委双问计办、市纪委监委、市委政法委等部门和单位报送材料70余件；受理环境污染举报案件277件。</w:t>
      </w:r>
    </w:p>
    <w:p>
      <w:pPr>
        <w:snapToGrid w:val="0"/>
        <w:spacing w:line="360" w:lineRule="auto"/>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我办2019年度紧紧围绕市委、市政府中心工作和全市大局，不断提高办公</w:t>
      </w:r>
      <w:r>
        <w:rPr>
          <w:rFonts w:hint="eastAsia" w:ascii="仿宋_GB2312" w:hAnsi="仿宋_GB2312" w:eastAsia="仿宋_GB2312" w:cs="仿宋_GB2312"/>
          <w:sz w:val="32"/>
          <w:szCs w:val="32"/>
          <w:lang w:eastAsia="zh-CN"/>
        </w:rPr>
        <w:t>室</w:t>
      </w:r>
      <w:r>
        <w:rPr>
          <w:rFonts w:hint="eastAsia" w:ascii="仿宋_GB2312" w:hAnsi="仿宋_GB2312" w:eastAsia="仿宋_GB2312" w:cs="仿宋_GB2312"/>
          <w:sz w:val="32"/>
          <w:szCs w:val="32"/>
        </w:rPr>
        <w:t>工作的科学化、制度化、规范化水平、服务质量，集中解决事关经济社会发展的重大问题、涉及民生利益的突出问题和群众反映强烈的热点难点问题，切实发挥好办公</w:t>
      </w:r>
      <w:r>
        <w:rPr>
          <w:rFonts w:hint="eastAsia" w:ascii="仿宋_GB2312" w:hAnsi="仿宋_GB2312" w:eastAsia="仿宋_GB2312" w:cs="仿宋_GB2312"/>
          <w:sz w:val="32"/>
          <w:szCs w:val="32"/>
          <w:lang w:eastAsia="zh-CN"/>
        </w:rPr>
        <w:t>室</w:t>
      </w:r>
      <w:r>
        <w:rPr>
          <w:rFonts w:hint="eastAsia" w:ascii="仿宋_GB2312" w:hAnsi="仿宋_GB2312" w:eastAsia="仿宋_GB2312" w:cs="仿宋_GB2312"/>
          <w:sz w:val="32"/>
          <w:szCs w:val="32"/>
        </w:rPr>
        <w:t>的职能作用。</w:t>
      </w:r>
    </w:p>
    <w:p>
      <w:pPr>
        <w:snapToGrid w:val="0"/>
        <w:spacing w:line="360" w:lineRule="auto"/>
        <w:ind w:firstLine="640" w:firstLineChars="200"/>
        <w:rPr>
          <w:rFonts w:ascii="黑体" w:hAnsi="黑体" w:eastAsia="黑体" w:cs="黑体"/>
          <w:sz w:val="32"/>
          <w:szCs w:val="32"/>
        </w:rPr>
      </w:pPr>
      <w:r>
        <w:rPr>
          <w:rFonts w:hint="eastAsia" w:ascii="黑体" w:hAnsi="黑体" w:eastAsia="黑体" w:cs="黑体"/>
          <w:sz w:val="32"/>
          <w:szCs w:val="32"/>
        </w:rPr>
        <w:t>三、绩效目标设定质量情况</w:t>
      </w:r>
    </w:p>
    <w:p>
      <w:pPr>
        <w:snapToGrid w:val="0"/>
        <w:spacing w:line="360" w:lineRule="auto"/>
        <w:ind w:firstLine="640" w:firstLineChars="200"/>
        <w:rPr>
          <w:rFonts w:ascii="仿宋" w:hAnsi="仿宋" w:eastAsia="仿宋" w:cs="仿宋"/>
          <w:sz w:val="32"/>
          <w:szCs w:val="32"/>
        </w:rPr>
      </w:pPr>
      <w:r>
        <w:rPr>
          <w:rFonts w:hint="eastAsia" w:ascii="仿宋" w:hAnsi="仿宋" w:eastAsia="仿宋" w:cs="仿宋"/>
          <w:sz w:val="32"/>
          <w:szCs w:val="32"/>
        </w:rPr>
        <w:t>评价的项目通过绩效自评结果与年初绩效目标进行对比，对比结果反映在以下三个方面：</w:t>
      </w:r>
      <w:r>
        <w:rPr>
          <w:rFonts w:ascii="仿宋" w:hAnsi="仿宋" w:eastAsia="仿宋" w:cs="仿宋"/>
          <w:sz w:val="32"/>
          <w:szCs w:val="32"/>
        </w:rPr>
        <w:t xml:space="preserve"> </w:t>
      </w:r>
    </w:p>
    <w:p>
      <w:pPr>
        <w:ind w:firstLine="640"/>
        <w:rPr>
          <w:rFonts w:ascii="仿宋" w:hAnsi="仿宋" w:eastAsia="仿宋" w:cs="仿宋"/>
          <w:sz w:val="32"/>
          <w:szCs w:val="32"/>
        </w:rPr>
      </w:pPr>
      <w:r>
        <w:rPr>
          <w:rFonts w:hint="eastAsia" w:ascii="仿宋" w:hAnsi="仿宋" w:eastAsia="仿宋" w:cs="仿宋"/>
          <w:b/>
          <w:bCs/>
          <w:sz w:val="32"/>
          <w:szCs w:val="32"/>
        </w:rPr>
        <w:t>一是</w:t>
      </w:r>
      <w:r>
        <w:rPr>
          <w:rFonts w:hint="eastAsia" w:ascii="仿宋" w:hAnsi="仿宋" w:eastAsia="仿宋" w:cs="仿宋"/>
          <w:sz w:val="32"/>
          <w:szCs w:val="32"/>
        </w:rPr>
        <w:t>绩效目标设定依据清晰准确，指向明确，能够清晰准确反映预算资金的预期产出和效果，并以相应的绩效指标从数量、质量、成本、时效等方面予以细化、量化。</w:t>
      </w:r>
    </w:p>
    <w:p>
      <w:pPr>
        <w:snapToGrid w:val="0"/>
        <w:spacing w:line="360" w:lineRule="auto"/>
        <w:ind w:firstLine="643" w:firstLineChars="200"/>
        <w:rPr>
          <w:rFonts w:ascii="仿宋_GB2312" w:hAnsi="仿宋_GB2312" w:eastAsia="仿宋_GB2312" w:cs="仿宋_GB2312"/>
          <w:sz w:val="32"/>
          <w:szCs w:val="32"/>
        </w:rPr>
      </w:pPr>
      <w:r>
        <w:rPr>
          <w:rFonts w:hint="eastAsia" w:ascii="仿宋_GB2312" w:hAnsi="仿宋_GB2312" w:eastAsia="仿宋_GB2312" w:cs="仿宋_GB2312"/>
          <w:b/>
          <w:bCs/>
          <w:sz w:val="32"/>
          <w:szCs w:val="32"/>
        </w:rPr>
        <w:t>二是</w:t>
      </w:r>
      <w:r>
        <w:rPr>
          <w:rFonts w:hint="eastAsia" w:ascii="仿宋_GB2312" w:hAnsi="仿宋_GB2312" w:eastAsia="仿宋_GB2312" w:cs="仿宋_GB2312"/>
          <w:sz w:val="32"/>
          <w:szCs w:val="32"/>
        </w:rPr>
        <w:t>绩效指标能够围绕绩效目标来设定，从总体来看全面完整，科学合理，易于评价，能够反映被评价项目的实际情况。</w:t>
      </w:r>
    </w:p>
    <w:p>
      <w:pPr>
        <w:snapToGrid w:val="0"/>
        <w:spacing w:line="360" w:lineRule="auto"/>
        <w:ind w:firstLine="643" w:firstLineChars="200"/>
        <w:rPr>
          <w:rFonts w:ascii="仿宋_GB2312" w:hAnsi="仿宋_GB2312" w:eastAsia="仿宋_GB2312" w:cs="仿宋_GB2312"/>
          <w:sz w:val="32"/>
          <w:szCs w:val="32"/>
        </w:rPr>
      </w:pPr>
      <w:r>
        <w:rPr>
          <w:rFonts w:hint="eastAsia" w:ascii="仿宋_GB2312" w:hAnsi="仿宋_GB2312" w:eastAsia="仿宋_GB2312" w:cs="仿宋_GB2312"/>
          <w:b/>
          <w:bCs/>
          <w:sz w:val="32"/>
          <w:szCs w:val="32"/>
        </w:rPr>
        <w:t>三是</w:t>
      </w:r>
      <w:r>
        <w:rPr>
          <w:rFonts w:hint="eastAsia" w:ascii="仿宋_GB2312" w:hAnsi="仿宋_GB2312" w:eastAsia="仿宋_GB2312" w:cs="仿宋_GB2312"/>
          <w:sz w:val="32"/>
          <w:szCs w:val="32"/>
        </w:rPr>
        <w:t>绩效标准切实可行，客观合理，能够实际执行或实现，大部分预算资金额与实际支出资金量相匹配。但是个别项目预算执行率不高，预算编制精准度尚待提高。</w:t>
      </w:r>
    </w:p>
    <w:p>
      <w:pPr>
        <w:snapToGrid w:val="0"/>
        <w:spacing w:line="360" w:lineRule="auto"/>
        <w:ind w:firstLine="640" w:firstLineChars="200"/>
        <w:rPr>
          <w:rFonts w:ascii="黑体" w:hAnsi="黑体" w:eastAsia="黑体" w:cs="黑体"/>
          <w:sz w:val="32"/>
          <w:szCs w:val="32"/>
        </w:rPr>
      </w:pPr>
      <w:r>
        <w:rPr>
          <w:rFonts w:hint="eastAsia" w:ascii="黑体" w:hAnsi="黑体" w:eastAsia="黑体" w:cs="黑体"/>
          <w:sz w:val="32"/>
          <w:szCs w:val="32"/>
        </w:rPr>
        <w:t>四、整改措施及结果应用</w:t>
      </w:r>
    </w:p>
    <w:p>
      <w:pPr>
        <w:snapToGrid w:val="0"/>
        <w:spacing w:line="360" w:lineRule="auto"/>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整体看，市</w:t>
      </w:r>
      <w:r>
        <w:rPr>
          <w:rFonts w:hint="eastAsia" w:ascii="仿宋_GB2312" w:hAnsi="仿宋_GB2312" w:eastAsia="仿宋_GB2312" w:cs="仿宋_GB2312"/>
          <w:sz w:val="32"/>
          <w:szCs w:val="32"/>
          <w:lang w:eastAsia="zh-CN"/>
        </w:rPr>
        <w:t>政府</w:t>
      </w:r>
      <w:r>
        <w:rPr>
          <w:rFonts w:hint="eastAsia" w:ascii="仿宋_GB2312" w:hAnsi="仿宋_GB2312" w:eastAsia="仿宋_GB2312" w:cs="仿宋_GB2312"/>
          <w:sz w:val="32"/>
          <w:szCs w:val="32"/>
        </w:rPr>
        <w:t>办公室此次评价项目评优率为100%，资金支出率为95.84%。但评优项目尚有提升空间。</w:t>
      </w:r>
    </w:p>
    <w:p>
      <w:pPr>
        <w:snapToGrid w:val="0"/>
        <w:spacing w:line="360" w:lineRule="auto"/>
        <w:ind w:firstLine="640" w:firstLineChars="200"/>
        <w:rPr>
          <w:rFonts w:ascii="楷体" w:hAnsi="楷体" w:eastAsia="楷体" w:cs="楷体"/>
          <w:sz w:val="32"/>
          <w:szCs w:val="32"/>
        </w:rPr>
      </w:pPr>
      <w:bookmarkStart w:id="1" w:name="_Hlk41659004"/>
      <w:bookmarkStart w:id="2" w:name="_Hlk40710023"/>
      <w:r>
        <w:rPr>
          <w:rFonts w:hint="eastAsia" w:ascii="楷体" w:hAnsi="楷体" w:eastAsia="楷体" w:cs="楷体"/>
          <w:sz w:val="32"/>
          <w:szCs w:val="32"/>
        </w:rPr>
        <w:t>（一）进一步加强预算绩效管理</w:t>
      </w:r>
    </w:p>
    <w:bookmarkEnd w:id="1"/>
    <w:p>
      <w:pPr>
        <w:snapToGrid w:val="0"/>
        <w:spacing w:line="360" w:lineRule="auto"/>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要加强事前、事中及事后的预算的管理，充分评估工作安排的合理性，必要性。项目</w:t>
      </w:r>
      <w:r>
        <w:rPr>
          <w:rFonts w:hint="eastAsia" w:ascii="仿宋_GB2312" w:hAnsi="宋体" w:eastAsia="仿宋_GB2312"/>
          <w:sz w:val="32"/>
          <w:szCs w:val="32"/>
        </w:rPr>
        <w:t>年初预算编制前，要做好前期调研，设立绩效目标要充分考虑外界因素的影响；项目实施期间，加大对预算编制与执行的监督管理力度，提高预算资金使用效率</w:t>
      </w:r>
      <w:r>
        <w:rPr>
          <w:rFonts w:hint="eastAsia" w:ascii="仿宋_GB2312" w:hAnsi="仿宋_GB2312" w:eastAsia="仿宋_GB2312" w:cs="仿宋_GB2312"/>
          <w:sz w:val="32"/>
          <w:szCs w:val="32"/>
        </w:rPr>
        <w:t>；项目实施后要总结历史经验，为以后年度项目实施提供参考依据。</w:t>
      </w:r>
    </w:p>
    <w:bookmarkEnd w:id="2"/>
    <w:p>
      <w:pPr>
        <w:snapToGrid w:val="0"/>
        <w:spacing w:line="360" w:lineRule="auto"/>
        <w:ind w:firstLine="640" w:firstLineChars="200"/>
        <w:rPr>
          <w:rFonts w:ascii="楷体" w:hAnsi="楷体" w:eastAsia="楷体" w:cs="楷体"/>
          <w:sz w:val="32"/>
          <w:szCs w:val="32"/>
        </w:rPr>
      </w:pPr>
      <w:bookmarkStart w:id="3" w:name="_Hlk40710041"/>
      <w:r>
        <w:rPr>
          <w:rFonts w:hint="eastAsia" w:ascii="楷体" w:hAnsi="楷体" w:eastAsia="楷体" w:cs="楷体"/>
          <w:sz w:val="32"/>
          <w:szCs w:val="32"/>
        </w:rPr>
        <w:t>（二）进一步优化绩效目标</w:t>
      </w:r>
    </w:p>
    <w:p>
      <w:pPr>
        <w:snapToGrid w:val="0"/>
        <w:spacing w:line="360" w:lineRule="auto"/>
        <w:ind w:firstLine="640" w:firstLineChars="200"/>
        <w:rPr>
          <w:rFonts w:ascii="仿宋_GB2312" w:hAnsi="仿宋_GB2312" w:eastAsia="仿宋_GB2312" w:cs="仿宋_GB2312"/>
          <w:sz w:val="32"/>
          <w:szCs w:val="32"/>
        </w:rPr>
      </w:pPr>
      <w:r>
        <w:rPr>
          <w:rFonts w:hint="eastAsia" w:ascii="仿宋_GB2312" w:hAnsi="宋体" w:eastAsia="仿宋_GB2312"/>
          <w:sz w:val="32"/>
          <w:szCs w:val="32"/>
        </w:rPr>
        <w:t>绩效指标设立</w:t>
      </w:r>
      <w:r>
        <w:rPr>
          <w:rFonts w:hint="eastAsia" w:ascii="仿宋_GB2312" w:hAnsi="仿宋_GB2312" w:eastAsia="仿宋_GB2312" w:cs="仿宋_GB2312"/>
          <w:sz w:val="32"/>
          <w:szCs w:val="32"/>
        </w:rPr>
        <w:t>要更加</w:t>
      </w:r>
      <w:r>
        <w:rPr>
          <w:rFonts w:hint="eastAsia" w:ascii="仿宋_GB2312" w:hAnsi="宋体" w:eastAsia="仿宋_GB2312"/>
          <w:sz w:val="32"/>
          <w:szCs w:val="32"/>
        </w:rPr>
        <w:t>科学、合理、可衡量。在设立指标时候要充分考虑指标设定的可实施性，可考核性，要尽可能的量化，细化。</w:t>
      </w:r>
    </w:p>
    <w:bookmarkEnd w:id="3"/>
    <w:p>
      <w:pPr>
        <w:snapToGrid w:val="0"/>
        <w:spacing w:line="360" w:lineRule="auto"/>
        <w:ind w:firstLine="640" w:firstLineChars="200"/>
        <w:rPr>
          <w:rFonts w:ascii="楷体" w:hAnsi="楷体" w:eastAsia="楷体" w:cs="楷体"/>
          <w:sz w:val="32"/>
          <w:szCs w:val="32"/>
        </w:rPr>
      </w:pPr>
      <w:r>
        <w:rPr>
          <w:rFonts w:hint="eastAsia" w:ascii="楷体" w:hAnsi="楷体" w:eastAsia="楷体" w:cs="楷体"/>
          <w:sz w:val="32"/>
          <w:szCs w:val="32"/>
        </w:rPr>
        <w:t>（三）结果运用</w:t>
      </w:r>
    </w:p>
    <w:p>
      <w:pPr>
        <w:snapToGrid w:val="0"/>
        <w:spacing w:line="360" w:lineRule="auto"/>
        <w:ind w:firstLine="640"/>
        <w:rPr>
          <w:rFonts w:ascii="仿宋_GB2312" w:hAnsi="仿宋_GB2312" w:eastAsia="仿宋_GB2312" w:cs="仿宋_GB2312"/>
          <w:sz w:val="32"/>
          <w:szCs w:val="32"/>
        </w:rPr>
      </w:pPr>
      <w:r>
        <w:rPr>
          <w:rFonts w:hint="eastAsia" w:ascii="仿宋_GB2312" w:hAnsi="仿宋_GB2312" w:eastAsia="仿宋_GB2312" w:cs="仿宋_GB2312"/>
          <w:sz w:val="32"/>
          <w:szCs w:val="32"/>
        </w:rPr>
        <w:t>要注重绩效评价结果的运用，将其作为本部门审议预算、行政问责、预算分配的重要依据。对照绩效评价工作中发现的问题，结合绩效评价报告中提出的整改意见，进一步完善预算管理机制，增强支出责任，规范资金使用，强化监督检查，提高预算管理水平，为预算资金使用效益的提高提供基础保障。</w:t>
      </w:r>
      <w:bookmarkStart w:id="4" w:name="_GoBack"/>
      <w:bookmarkEnd w:id="4"/>
    </w:p>
    <w:p>
      <w:pPr>
        <w:snapToGrid w:val="0"/>
        <w:spacing w:line="360" w:lineRule="auto"/>
        <w:ind w:firstLine="640"/>
        <w:rPr>
          <w:rFonts w:hint="eastAsia" w:ascii="仿宋_GB2312" w:hAnsi="仿宋_GB2312" w:eastAsia="仿宋_GB2312" w:cs="仿宋_GB2312"/>
          <w:sz w:val="32"/>
          <w:szCs w:val="32"/>
        </w:rPr>
      </w:pPr>
    </w:p>
    <w:p>
      <w:pPr>
        <w:snapToGrid w:val="0"/>
        <w:spacing w:line="360" w:lineRule="auto"/>
        <w:ind w:firstLine="640"/>
        <w:rPr>
          <w:rFonts w:hint="eastAsia" w:ascii="仿宋_GB2312" w:hAnsi="仿宋_GB2312" w:eastAsia="仿宋_GB2312" w:cs="仿宋_GB2312"/>
          <w:sz w:val="32"/>
          <w:szCs w:val="32"/>
        </w:rPr>
      </w:pPr>
    </w:p>
    <w:p>
      <w:pPr>
        <w:snapToGrid w:val="0"/>
        <w:spacing w:line="360" w:lineRule="auto"/>
        <w:ind w:firstLine="64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xml:space="preserve"> </w:t>
      </w:r>
      <w:r>
        <w:rPr>
          <w:rFonts w:ascii="仿宋_GB2312" w:hAnsi="仿宋_GB2312" w:eastAsia="仿宋_GB2312" w:cs="仿宋_GB2312"/>
          <w:sz w:val="32"/>
          <w:szCs w:val="32"/>
        </w:rPr>
        <w:t xml:space="preserve">                             </w:t>
      </w:r>
      <w:r>
        <w:rPr>
          <w:rFonts w:hint="eastAsia" w:ascii="仿宋_GB2312" w:hAnsi="仿宋_GB2312" w:eastAsia="仿宋_GB2312" w:cs="仿宋_GB2312"/>
          <w:sz w:val="32"/>
          <w:szCs w:val="32"/>
        </w:rPr>
        <w:t>2020年5月29日</w:t>
      </w:r>
    </w:p>
    <w:sectPr>
      <w:headerReference r:id="rId3" w:type="default"/>
      <w:footerReference r:id="rId4" w:type="default"/>
      <w:pgSz w:w="11906" w:h="16838"/>
      <w:pgMar w:top="2041" w:right="1304" w:bottom="1701" w:left="1531" w:header="851" w:footer="992" w:gutter="0"/>
      <w:pgNumType w:fmt="numberInDash"/>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
    <w:panose1 w:val="02010609060101010101"/>
    <w:charset w:val="86"/>
    <w:family w:val="modern"/>
    <w:pitch w:val="default"/>
    <w:sig w:usb0="800002BF" w:usb1="38CF7CFA" w:usb2="00000016" w:usb3="00000000" w:csb0="00040001" w:csb1="00000000"/>
  </w:font>
  <w:font w:name="楷体">
    <w:panose1 w:val="02010609060101010101"/>
    <w:charset w:val="86"/>
    <w:family w:val="modern"/>
    <w:pitch w:val="default"/>
    <w:sig w:usb0="800002BF" w:usb1="38CF7CFA" w:usb2="00000016" w:usb3="00000000" w:csb0="00040001" w:csb1="00000000"/>
  </w:font>
  <w:font w:name="仿宋_GB2312">
    <w:altName w:val="仿宋"/>
    <w:panose1 w:val="00000000000000000000"/>
    <w:charset w:val="86"/>
    <w:family w:val="modern"/>
    <w:pitch w:val="default"/>
    <w:sig w:usb0="00000000" w:usb1="00000000" w:usb2="0000001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mc:AlternateContent>
        <mc:Choice Requires="wps">
          <w:drawing>
            <wp:anchor distT="0" distB="0" distL="114300" distR="114300" simplePos="0" relativeHeight="251658240"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02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- 3 -</w:t>
                          </w:r>
                          <w:r>
                            <w:rPr>
                              <w:rFonts w:hint="eastAsia"/>
                              <w:sz w:val="18"/>
                            </w:rPr>
                            <w:fldChar w:fldCharType="end"/>
                          </w:r>
                        </w:p>
                      </w:txbxContent>
                    </wps:txbx>
                    <wps:bodyPr wrap="none" lIns="0" tIns="0" rIns="0" bIns="0" upright="1">
                      <a:spAutoFit/>
                    </wps:bodyPr>
                  </wps:wsp>
                </a:graphicData>
              </a:graphic>
            </wp:anchor>
          </w:drawing>
        </mc:Choice>
        <mc:Fallback>
          <w:pict>
            <v:shape id="文本框 1025" o:spid="_x0000_s1026" o:spt="202" type="#_x0000_t202" style="position:absolute;left:0pt;margin-top:0pt;height:144pt;width:144pt;mso-position-horizontal:center;mso-position-horizontal-relative:margin;mso-wrap-style:none;z-index:251658240;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">
              <v:fill on="f" focussize="0,0"/>
              <v:stroke on="f"/>
              <v:imagedata o:title=""/>
              <o:lock v:ext="edit" aspectratio="f"/>
              <v:textbox inset="0mm,0mm,0mm,0mm" style="mso-fit-shape-to-text:t;">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- 3 -</w:t>
                    </w:r>
                    <w:r>
                      <w:rPr>
                        <w:rFonts w:hint="eastAsia"/>
                        <w:sz w:val="18"/>
                      </w:rP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Bdr>
        <w:bottom w:val="none" w:color="auto" w:sz="0" w:space="1"/>
      </w:pBd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1"/>
  <w:bordersDoNotSurroundFooter w:val="1"/>
  <w:documentProtection w:enforcement="0"/>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F16A3"/>
    <w:rsid w:val="000155B3"/>
    <w:rsid w:val="00031C64"/>
    <w:rsid w:val="0004174C"/>
    <w:rsid w:val="00041999"/>
    <w:rsid w:val="00053559"/>
    <w:rsid w:val="00083781"/>
    <w:rsid w:val="000914E8"/>
    <w:rsid w:val="00095778"/>
    <w:rsid w:val="000C57C2"/>
    <w:rsid w:val="000D29F1"/>
    <w:rsid w:val="001015E3"/>
    <w:rsid w:val="00101827"/>
    <w:rsid w:val="00102D20"/>
    <w:rsid w:val="00144890"/>
    <w:rsid w:val="00154228"/>
    <w:rsid w:val="001570D5"/>
    <w:rsid w:val="0016193F"/>
    <w:rsid w:val="001627CF"/>
    <w:rsid w:val="00163B2F"/>
    <w:rsid w:val="001643AA"/>
    <w:rsid w:val="00176210"/>
    <w:rsid w:val="001A2E74"/>
    <w:rsid w:val="001D2D4C"/>
    <w:rsid w:val="001D79AB"/>
    <w:rsid w:val="00204E87"/>
    <w:rsid w:val="00244C3C"/>
    <w:rsid w:val="002660C3"/>
    <w:rsid w:val="00277AC9"/>
    <w:rsid w:val="00296FC3"/>
    <w:rsid w:val="002A06D8"/>
    <w:rsid w:val="002A2527"/>
    <w:rsid w:val="002A26C7"/>
    <w:rsid w:val="002B4E6B"/>
    <w:rsid w:val="002C6919"/>
    <w:rsid w:val="002D0D3F"/>
    <w:rsid w:val="002F4153"/>
    <w:rsid w:val="0035303A"/>
    <w:rsid w:val="00372F6C"/>
    <w:rsid w:val="003739F3"/>
    <w:rsid w:val="00381E0E"/>
    <w:rsid w:val="00383AC5"/>
    <w:rsid w:val="00385D96"/>
    <w:rsid w:val="0039187E"/>
    <w:rsid w:val="0039208C"/>
    <w:rsid w:val="003B412A"/>
    <w:rsid w:val="003C0925"/>
    <w:rsid w:val="003D1BC8"/>
    <w:rsid w:val="003E232B"/>
    <w:rsid w:val="003F5DB9"/>
    <w:rsid w:val="00432709"/>
    <w:rsid w:val="004337E0"/>
    <w:rsid w:val="00477D2C"/>
    <w:rsid w:val="0048132F"/>
    <w:rsid w:val="00491FCD"/>
    <w:rsid w:val="004960C7"/>
    <w:rsid w:val="004B208C"/>
    <w:rsid w:val="004B7AFE"/>
    <w:rsid w:val="004D1BD2"/>
    <w:rsid w:val="004D258C"/>
    <w:rsid w:val="004D7488"/>
    <w:rsid w:val="004E6C05"/>
    <w:rsid w:val="004F4AFA"/>
    <w:rsid w:val="004F6F9F"/>
    <w:rsid w:val="004F7874"/>
    <w:rsid w:val="00546BCB"/>
    <w:rsid w:val="00552ACF"/>
    <w:rsid w:val="0057073D"/>
    <w:rsid w:val="005836E9"/>
    <w:rsid w:val="00594783"/>
    <w:rsid w:val="005A149D"/>
    <w:rsid w:val="005C236C"/>
    <w:rsid w:val="005D746E"/>
    <w:rsid w:val="005E6EC9"/>
    <w:rsid w:val="006078C0"/>
    <w:rsid w:val="00610539"/>
    <w:rsid w:val="00636C4D"/>
    <w:rsid w:val="0064470E"/>
    <w:rsid w:val="00651CE8"/>
    <w:rsid w:val="006550BE"/>
    <w:rsid w:val="0065698B"/>
    <w:rsid w:val="00665896"/>
    <w:rsid w:val="006700E6"/>
    <w:rsid w:val="006B0672"/>
    <w:rsid w:val="006B3C85"/>
    <w:rsid w:val="006F7E95"/>
    <w:rsid w:val="007044E8"/>
    <w:rsid w:val="0071336C"/>
    <w:rsid w:val="0071475B"/>
    <w:rsid w:val="0071578A"/>
    <w:rsid w:val="00723B4E"/>
    <w:rsid w:val="007270DA"/>
    <w:rsid w:val="00736CD7"/>
    <w:rsid w:val="00751F42"/>
    <w:rsid w:val="00780CC6"/>
    <w:rsid w:val="00780E8A"/>
    <w:rsid w:val="00782638"/>
    <w:rsid w:val="00784AC6"/>
    <w:rsid w:val="00793214"/>
    <w:rsid w:val="007B5FA4"/>
    <w:rsid w:val="007D0CCF"/>
    <w:rsid w:val="007D43DA"/>
    <w:rsid w:val="007E481A"/>
    <w:rsid w:val="007E50DB"/>
    <w:rsid w:val="007E661D"/>
    <w:rsid w:val="007F5EE6"/>
    <w:rsid w:val="0081530B"/>
    <w:rsid w:val="008258D8"/>
    <w:rsid w:val="0083050B"/>
    <w:rsid w:val="008334B4"/>
    <w:rsid w:val="00840309"/>
    <w:rsid w:val="00856FA0"/>
    <w:rsid w:val="0087177C"/>
    <w:rsid w:val="00872322"/>
    <w:rsid w:val="008A5202"/>
    <w:rsid w:val="008B14A0"/>
    <w:rsid w:val="008C31C3"/>
    <w:rsid w:val="008C45A1"/>
    <w:rsid w:val="008D699B"/>
    <w:rsid w:val="008E047C"/>
    <w:rsid w:val="008E0E58"/>
    <w:rsid w:val="009110A9"/>
    <w:rsid w:val="00911A3A"/>
    <w:rsid w:val="00921B45"/>
    <w:rsid w:val="00941865"/>
    <w:rsid w:val="009555BC"/>
    <w:rsid w:val="00963788"/>
    <w:rsid w:val="00986803"/>
    <w:rsid w:val="0099577A"/>
    <w:rsid w:val="009A15F2"/>
    <w:rsid w:val="009C24CD"/>
    <w:rsid w:val="009D3482"/>
    <w:rsid w:val="009E3B5F"/>
    <w:rsid w:val="009E4041"/>
    <w:rsid w:val="009E5016"/>
    <w:rsid w:val="009F1522"/>
    <w:rsid w:val="00A06D88"/>
    <w:rsid w:val="00A349C1"/>
    <w:rsid w:val="00A40C28"/>
    <w:rsid w:val="00A47F3C"/>
    <w:rsid w:val="00A53159"/>
    <w:rsid w:val="00AB70A8"/>
    <w:rsid w:val="00AE4F2B"/>
    <w:rsid w:val="00AF336E"/>
    <w:rsid w:val="00AF5C06"/>
    <w:rsid w:val="00B35638"/>
    <w:rsid w:val="00B477AA"/>
    <w:rsid w:val="00B634CD"/>
    <w:rsid w:val="00B8177D"/>
    <w:rsid w:val="00B86365"/>
    <w:rsid w:val="00BA79A9"/>
    <w:rsid w:val="00BE032C"/>
    <w:rsid w:val="00BE7038"/>
    <w:rsid w:val="00BF1121"/>
    <w:rsid w:val="00C04440"/>
    <w:rsid w:val="00C054A8"/>
    <w:rsid w:val="00C14C8E"/>
    <w:rsid w:val="00C242EC"/>
    <w:rsid w:val="00C33477"/>
    <w:rsid w:val="00C50C2A"/>
    <w:rsid w:val="00C50F50"/>
    <w:rsid w:val="00C565B7"/>
    <w:rsid w:val="00C62303"/>
    <w:rsid w:val="00C65FE0"/>
    <w:rsid w:val="00C77155"/>
    <w:rsid w:val="00C81FF5"/>
    <w:rsid w:val="00C93900"/>
    <w:rsid w:val="00CA5B19"/>
    <w:rsid w:val="00CD6BA0"/>
    <w:rsid w:val="00CE156F"/>
    <w:rsid w:val="00D307E1"/>
    <w:rsid w:val="00D51627"/>
    <w:rsid w:val="00D53603"/>
    <w:rsid w:val="00DA3D9D"/>
    <w:rsid w:val="00DB34B3"/>
    <w:rsid w:val="00DB7F15"/>
    <w:rsid w:val="00DE1B55"/>
    <w:rsid w:val="00DE415F"/>
    <w:rsid w:val="00DE50A2"/>
    <w:rsid w:val="00DF6FF4"/>
    <w:rsid w:val="00E0460A"/>
    <w:rsid w:val="00E17D5D"/>
    <w:rsid w:val="00E2775B"/>
    <w:rsid w:val="00E338C0"/>
    <w:rsid w:val="00E42538"/>
    <w:rsid w:val="00E5222E"/>
    <w:rsid w:val="00E529E3"/>
    <w:rsid w:val="00E61BFC"/>
    <w:rsid w:val="00E841B7"/>
    <w:rsid w:val="00E87D36"/>
    <w:rsid w:val="00E921D1"/>
    <w:rsid w:val="00EA6022"/>
    <w:rsid w:val="00EB3DAD"/>
    <w:rsid w:val="00EC5481"/>
    <w:rsid w:val="00ED5E84"/>
    <w:rsid w:val="00EE52B6"/>
    <w:rsid w:val="00EF16A3"/>
    <w:rsid w:val="00F134D9"/>
    <w:rsid w:val="00F25049"/>
    <w:rsid w:val="00F57E52"/>
    <w:rsid w:val="00F6671B"/>
    <w:rsid w:val="00F75AE3"/>
    <w:rsid w:val="00FA1794"/>
    <w:rsid w:val="00FB5BB5"/>
    <w:rsid w:val="00FB7D46"/>
    <w:rsid w:val="00FD2BEC"/>
    <w:rsid w:val="019B7B01"/>
    <w:rsid w:val="13B61930"/>
    <w:rsid w:val="15F82BF4"/>
    <w:rsid w:val="1FD024BA"/>
    <w:rsid w:val="207E1A61"/>
    <w:rsid w:val="328F6650"/>
    <w:rsid w:val="3AEF6FE7"/>
    <w:rsid w:val="3BC769DA"/>
    <w:rsid w:val="42591371"/>
    <w:rsid w:val="493B718D"/>
    <w:rsid w:val="53A42ADD"/>
    <w:rsid w:val="55CA6B04"/>
    <w:rsid w:val="58ED46C4"/>
    <w:rsid w:val="5D00281A"/>
    <w:rsid w:val="76CB7576"/>
    <w:rsid w:val="7B4F7F8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0" w:name="index 1"/>
    <w:lsdException w:uiPriority="0" w:name="index 2"/>
    <w:lsdException w:uiPriority="0" w:name="index 3"/>
    <w:lsdException w:uiPriority="0" w:name="index 4"/>
    <w:lsdException w:uiPriority="0" w:name="index 5"/>
    <w:lsdException w:uiPriority="0" w:name="index 6"/>
    <w:lsdException w:uiPriority="0" w:name="index 7"/>
    <w:lsdException w:uiPriority="0" w:name="index 8"/>
    <w:lsdException w:uiPriority="0"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0" w:name="Normal Indent"/>
    <w:lsdException w:uiPriority="0" w:name="footnote text"/>
    <w:lsdException w:qFormat="1" w:uiPriority="0" w:name="annotation text"/>
    <w:lsdException w:qFormat="1" w:uiPriority="99" w:semiHidden="0" w:name="header"/>
    <w:lsdException w:qFormat="1" w:uiPriority="99" w:semiHidden="0" w:name="footer"/>
    <w:lsdException w:uiPriority="0" w:name="index heading"/>
    <w:lsdException w:qFormat="1" w:uiPriority="35" w:name="caption"/>
    <w:lsdException w:uiPriority="0" w:name="table of figures"/>
    <w:lsdException w:uiPriority="0" w:name="envelope address"/>
    <w:lsdException w:uiPriority="0" w:name="envelope return"/>
    <w:lsdException w:uiPriority="0" w:name="footnote reference"/>
    <w:lsdException w:qFormat="1" w:uiPriority="0" w:name="annotation reference"/>
    <w:lsdException w:uiPriority="0" w:name="line number"/>
    <w:lsdException w:uiPriority="0" w:name="page number"/>
    <w:lsdException w:uiPriority="0" w:name="endnote reference"/>
    <w:lsdException w:uiPriority="0" w:name="endnote text"/>
    <w:lsdException w:uiPriority="0" w:name="table of authorities"/>
    <w:lsdException w:uiPriority="0" w:name="macro"/>
    <w:lsdException w:uiPriority="0" w:name="toa heading"/>
    <w:lsdException w:uiPriority="0" w:name="List"/>
    <w:lsdException w:uiPriority="0" w:name="List Bullet"/>
    <w:lsdException w:uiPriority="0" w:name="List Number"/>
    <w:lsdException w:uiPriority="0" w:name="List 2"/>
    <w:lsdException w:uiPriority="0" w:name="List 3"/>
    <w:lsdException w:uiPriority="0" w:name="List 4"/>
    <w:lsdException w:uiPriority="0" w:name="List 5"/>
    <w:lsdException w:uiPriority="0" w:name="List Bullet 2"/>
    <w:lsdException w:uiPriority="0" w:name="List Bullet 3"/>
    <w:lsdException w:uiPriority="0" w:name="List Bullet 4"/>
    <w:lsdException w:uiPriority="0" w:name="List Bullet 5"/>
    <w:lsdException w:uiPriority="0" w:name="List Number 2"/>
    <w:lsdException w:uiPriority="0" w:name="List Number 3"/>
    <w:lsdException w:uiPriority="0" w:name="List Number 4"/>
    <w:lsdException w:uiPriority="0" w:name="List Number 5"/>
    <w:lsdException w:qFormat="1" w:unhideWhenUsed="0" w:uiPriority="10" w:semiHidden="0" w:name="Title"/>
    <w:lsdException w:uiPriority="0" w:name="Closing"/>
    <w:lsdException w:uiPriority="0" w:name="Signature"/>
    <w:lsdException w:qFormat="1" w:uiPriority="1" w:name="Default Paragraph Font"/>
    <w:lsdException w:uiPriority="0" w:name="Body Text"/>
    <w:lsdException w:uiPriority="0" w:name="Body Text Indent"/>
    <w:lsdException w:uiPriority="0" w:name="List Continue"/>
    <w:lsdException w:uiPriority="0" w:name="List Continue 2"/>
    <w:lsdException w:uiPriority="0" w:name="List Continue 3"/>
    <w:lsdException w:uiPriority="0" w:name="List Continue 4"/>
    <w:lsdException w:uiPriority="0" w:name="List Continue 5"/>
    <w:lsdException w:uiPriority="0" w:name="Message Header"/>
    <w:lsdException w:qFormat="1" w:unhideWhenUsed="0" w:uiPriority="11" w:semiHidden="0" w:name="Subtitle"/>
    <w:lsdException w:uiPriority="0" w:name="Salutation"/>
    <w:lsdException w:uiPriority="0" w:name="Date"/>
    <w:lsdException w:uiPriority="0" w:name="Body Text First Indent"/>
    <w:lsdException w:uiPriority="0" w:name="Body Text First Indent 2"/>
    <w:lsdException w:uiPriority="0" w:name="Note Heading"/>
    <w:lsdException w:uiPriority="0" w:name="Body Text 2"/>
    <w:lsdException w:uiPriority="0" w:name="Body Text 3"/>
    <w:lsdException w:uiPriority="0" w:name="Body Text Indent 2"/>
    <w:lsdException w:uiPriority="0" w:name="Body Text Indent 3"/>
    <w:lsdException w:uiPriority="0" w:name="Block Text"/>
    <w:lsdException w:uiPriority="0" w:name="Hyperlink"/>
    <w:lsdException w:uiPriority="0" w:name="FollowedHyperlink"/>
    <w:lsdException w:qFormat="1" w:unhideWhenUsed="0" w:uiPriority="22" w:semiHidden="0" w:name="Strong"/>
    <w:lsdException w:qFormat="1" w:unhideWhenUsed="0" w:uiPriority="20" w:semiHidden="0" w:name="Emphasis"/>
    <w:lsdException w:uiPriority="0" w:name="Document Map"/>
    <w:lsdException w:uiPriority="0" w:name="Plain Text"/>
    <w:lsdException w:uiPriority="0" w:name="E-mail Signature"/>
    <w:lsdException w:uiPriority="0" w:name="Normal (Web)"/>
    <w:lsdException w:uiPriority="0" w:name="HTML Acronym"/>
    <w:lsdException w:uiPriority="0" w:name="HTML Address"/>
    <w:lsdException w:uiPriority="0" w:name="HTML Cite"/>
    <w:lsdException w:uiPriority="0" w:name="HTML Code"/>
    <w:lsdException w:uiPriority="0" w:name="HTML Definition"/>
    <w:lsdException w:uiPriority="0" w:name="HTML Keyboard"/>
    <w:lsdException w:uiPriority="0" w:name="HTML Preformatted"/>
    <w:lsdException w:uiPriority="0" w:name="HTML Sample"/>
    <w:lsdException w:uiPriority="0" w:name="HTML Typewriter"/>
    <w:lsdException w:uiPriority="0" w:name="HTML Variable"/>
    <w:lsdException w:qFormat="1" w:uiPriority="99" w:name="Normal Table"/>
    <w:lsdException w:qFormat="1" w:uiPriority="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iPriority="0" w:name="Balloon Text"/>
    <w:lsdException w:unhideWhenUsed="0" w:uiPriority="59"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8">
    <w:name w:val="Default Paragraph Font"/>
    <w:semiHidden/>
    <w:unhideWhenUsed/>
    <w:qFormat/>
    <w:uiPriority w:val="1"/>
  </w:style>
  <w:style w:type="table" w:default="1" w:styleId="7">
    <w:name w:val="Normal Table"/>
    <w:semiHidden/>
    <w:unhideWhenUsed/>
    <w:qFormat/>
    <w:uiPriority w:val="99"/>
    <w:tblPr>
      <w:tblCellMar>
        <w:top w:w="0" w:type="dxa"/>
        <w:left w:w="108" w:type="dxa"/>
        <w:bottom w:w="0" w:type="dxa"/>
        <w:right w:w="108" w:type="dxa"/>
      </w:tblCellMar>
    </w:tblPr>
  </w:style>
  <w:style w:type="paragraph" w:styleId="2">
    <w:name w:val="annotation text"/>
    <w:basedOn w:val="1"/>
    <w:link w:val="14"/>
    <w:semiHidden/>
    <w:unhideWhenUsed/>
    <w:qFormat/>
    <w:uiPriority w:val="0"/>
    <w:pPr>
      <w:jc w:val="left"/>
    </w:pPr>
  </w:style>
  <w:style w:type="paragraph" w:styleId="3">
    <w:name w:val="Balloon Text"/>
    <w:basedOn w:val="1"/>
    <w:link w:val="13"/>
    <w:semiHidden/>
    <w:unhideWhenUsed/>
    <w:qFormat/>
    <w:uiPriority w:val="0"/>
    <w:rPr>
      <w:sz w:val="18"/>
      <w:szCs w:val="18"/>
    </w:rPr>
  </w:style>
  <w:style w:type="paragraph" w:styleId="4">
    <w:name w:val="footer"/>
    <w:basedOn w:val="1"/>
    <w:link w:val="11"/>
    <w:unhideWhenUsed/>
    <w:qFormat/>
    <w:uiPriority w:val="99"/>
    <w:pPr>
      <w:tabs>
        <w:tab w:val="center" w:pos="4153"/>
        <w:tab w:val="right" w:pos="8306"/>
      </w:tabs>
      <w:snapToGrid w:val="0"/>
      <w:jc w:val="left"/>
    </w:pPr>
    <w:rPr>
      <w:sz w:val="18"/>
      <w:szCs w:val="18"/>
    </w:rPr>
  </w:style>
  <w:style w:type="paragraph" w:styleId="5">
    <w:name w:val="header"/>
    <w:basedOn w:val="1"/>
    <w:link w:val="10"/>
    <w:unhideWhenUsed/>
    <w:qFormat/>
    <w:uiPriority w:val="99"/>
    <w:pPr>
      <w:pBdr>
        <w:bottom w:val="single" w:color="auto" w:sz="6" w:space="1"/>
      </w:pBdr>
      <w:tabs>
        <w:tab w:val="center" w:pos="4153"/>
        <w:tab w:val="right" w:pos="8306"/>
      </w:tabs>
      <w:snapToGrid w:val="0"/>
      <w:jc w:val="center"/>
    </w:pPr>
    <w:rPr>
      <w:sz w:val="18"/>
      <w:szCs w:val="18"/>
    </w:rPr>
  </w:style>
  <w:style w:type="paragraph" w:styleId="6">
    <w:name w:val="annotation subject"/>
    <w:basedOn w:val="2"/>
    <w:next w:val="2"/>
    <w:link w:val="15"/>
    <w:semiHidden/>
    <w:unhideWhenUsed/>
    <w:qFormat/>
    <w:uiPriority w:val="0"/>
    <w:rPr>
      <w:b/>
      <w:bCs/>
    </w:rPr>
  </w:style>
  <w:style w:type="character" w:styleId="9">
    <w:name w:val="annotation reference"/>
    <w:basedOn w:val="8"/>
    <w:semiHidden/>
    <w:unhideWhenUsed/>
    <w:qFormat/>
    <w:uiPriority w:val="0"/>
    <w:rPr>
      <w:sz w:val="21"/>
      <w:szCs w:val="21"/>
    </w:rPr>
  </w:style>
  <w:style w:type="character" w:customStyle="1" w:styleId="10">
    <w:name w:val="页眉 字符"/>
    <w:basedOn w:val="8"/>
    <w:link w:val="5"/>
    <w:qFormat/>
    <w:uiPriority w:val="99"/>
    <w:rPr>
      <w:sz w:val="18"/>
      <w:szCs w:val="18"/>
    </w:rPr>
  </w:style>
  <w:style w:type="character" w:customStyle="1" w:styleId="11">
    <w:name w:val="页脚 字符"/>
    <w:basedOn w:val="8"/>
    <w:link w:val="4"/>
    <w:qFormat/>
    <w:uiPriority w:val="99"/>
    <w:rPr>
      <w:sz w:val="18"/>
      <w:szCs w:val="18"/>
    </w:rPr>
  </w:style>
  <w:style w:type="paragraph" w:styleId="12">
    <w:name w:val="List Paragraph"/>
    <w:basedOn w:val="1"/>
    <w:unhideWhenUsed/>
    <w:qFormat/>
    <w:uiPriority w:val="99"/>
    <w:pPr>
      <w:ind w:firstLine="420" w:firstLineChars="200"/>
    </w:pPr>
  </w:style>
  <w:style w:type="character" w:customStyle="1" w:styleId="13">
    <w:name w:val="批注框文本 字符"/>
    <w:basedOn w:val="8"/>
    <w:link w:val="3"/>
    <w:semiHidden/>
    <w:qFormat/>
    <w:uiPriority w:val="0"/>
    <w:rPr>
      <w:kern w:val="2"/>
      <w:sz w:val="18"/>
      <w:szCs w:val="18"/>
    </w:rPr>
  </w:style>
  <w:style w:type="character" w:customStyle="1" w:styleId="14">
    <w:name w:val="批注文字 字符"/>
    <w:basedOn w:val="8"/>
    <w:link w:val="2"/>
    <w:semiHidden/>
    <w:qFormat/>
    <w:uiPriority w:val="0"/>
    <w:rPr>
      <w:kern w:val="2"/>
      <w:sz w:val="21"/>
      <w:szCs w:val="24"/>
    </w:rPr>
  </w:style>
  <w:style w:type="character" w:customStyle="1" w:styleId="15">
    <w:name w:val="批注主题 字符"/>
    <w:basedOn w:val="14"/>
    <w:link w:val="6"/>
    <w:semiHidden/>
    <w:qFormat/>
    <w:uiPriority w:val="0"/>
    <w:rPr>
      <w:b/>
      <w:bCs/>
      <w:kern w:val="2"/>
      <w:sz w:val="21"/>
      <w:szCs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Lenovo</Company>
  <Pages>5</Pages>
  <Words>307</Words>
  <Characters>1754</Characters>
  <Lines>14</Lines>
  <Paragraphs>4</Paragraphs>
  <TotalTime>432</TotalTime>
  <ScaleCrop>false</ScaleCrop>
  <LinksUpToDate>false</LinksUpToDate>
  <CharactersWithSpaces>2057</CharactersWithSpaces>
  <Application>WPS Office_11.1.0.9740_F1E327BC-269C-435d-A152-05C5408002CA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2020-05-14T07:17:00Z</dcterms:created>
  <dc:creator>user</dc:creator>
  <cp:lastModifiedBy>lenovo</cp:lastModifiedBy>
  <cp:lastPrinted>2020-06-01T10:06:05Z</cp:lastPrinted>
  <dcterms:modified xsi:type="dcterms:W3CDTF">2020-06-01T10:31:07Z</dcterms:modified>
  <dc:title>附件2： </dc:title>
  <cp:revision>97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2052-11.1.0.9740</vt:lpwstr>
  </property>
</Properties>
</file>