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360" w:lineRule="auto"/>
        <w:ind w:left="0" w:leftChars="0" w:right="0" w:firstLine="0" w:firstLineChars="0"/>
        <w:jc w:val="center"/>
        <w:textAlignment w:val="auto"/>
        <w:outlineLvl w:val="9"/>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石家庄市审计局</w:t>
      </w:r>
    </w:p>
    <w:p>
      <w:pPr>
        <w:widowControl w:val="0"/>
        <w:wordWrap/>
        <w:spacing w:line="360" w:lineRule="auto"/>
        <w:ind w:left="0" w:leftChars="0" w:right="0" w:firstLine="0" w:firstLineChars="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eastAsia="zh-CN"/>
        </w:rPr>
        <w:t>外聘专家劳务费自评</w:t>
      </w:r>
      <w:r>
        <w:rPr>
          <w:rFonts w:hint="eastAsia" w:ascii="方正小标宋简体" w:hAnsi="方正小标宋简体" w:eastAsia="方正小标宋简体" w:cs="方正小标宋简体"/>
          <w:b w:val="0"/>
          <w:bCs w:val="0"/>
          <w:sz w:val="44"/>
          <w:szCs w:val="44"/>
        </w:rPr>
        <w:t>报告</w:t>
      </w:r>
    </w:p>
    <w:p>
      <w:pPr>
        <w:widowControl w:val="0"/>
        <w:wordWrap/>
        <w:spacing w:line="360" w:lineRule="auto"/>
        <w:ind w:left="0" w:leftChars="0" w:right="0" w:firstLine="0" w:firstLineChars="0"/>
        <w:jc w:val="both"/>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外聘专家劳务费项目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1、</w:t>
      </w:r>
      <w:r>
        <w:rPr>
          <w:rFonts w:hint="eastAsia" w:ascii="仿宋_GB2312" w:eastAsia="仿宋_GB2312"/>
          <w:sz w:val="32"/>
          <w:szCs w:val="32"/>
          <w:lang w:eastAsia="zh-CN"/>
        </w:rPr>
        <w:t>项目实施单位为石家庄市审计局。</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eastAsia="仿宋_GB2312"/>
          <w:sz w:val="32"/>
          <w:szCs w:val="32"/>
          <w:lang w:eastAsia="zh-CN"/>
        </w:rPr>
        <w:t>项目立项基本情况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近年来，随着审计事业的不断发展，对审计工作提出了更高的要求。2014年国务院印发了《关于加强审计工作的意见》，要求持续组织对国家重大政策措施和宏观调控部署落实情况以及公共资金、国有资产、国有资源、领导干部经济责任履行情况进行审计，实现审计监督全覆盖。因此，审计工作需求增长与审计力量不足及审计人员专业结构等之间的矛盾日益突出。为了解决上述矛盾，进一步优化审计资源配置，推动创新审计方式，提高审计效率，石家庄市审计局根据《石家庄市审计局向社会购买服务管理办法(暂行)》的规定，开展了石家庄市审计局外聘专家劳务费用项目。</w:t>
      </w:r>
    </w:p>
    <w:p>
      <w:pPr>
        <w:widowControl w:val="0"/>
        <w:numPr>
          <w:ilvl w:val="0"/>
          <w:numId w:val="0"/>
        </w:numPr>
        <w:wordWrap/>
        <w:adjustRightInd w:val="0"/>
        <w:snapToGrid w:val="0"/>
        <w:spacing w:line="360" w:lineRule="auto"/>
        <w:ind w:leftChars="200" w:right="0" w:rightChars="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3、项目主要实施内容和范围</w:t>
      </w:r>
    </w:p>
    <w:p>
      <w:pPr>
        <w:widowControl w:val="0"/>
        <w:numPr>
          <w:ilvl w:val="0"/>
          <w:numId w:val="0"/>
        </w:numPr>
        <w:wordWrap/>
        <w:adjustRightInd w:val="0"/>
        <w:snapToGrid w:val="0"/>
        <w:spacing w:line="360" w:lineRule="auto"/>
        <w:ind w:left="16" w:leftChars="0" w:right="0" w:rightChars="0" w:hanging="16" w:hangingChars="5"/>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主要实施范围是政府投资审计专业服务项目、机构改革调整、经济责任审计。2019年使用外聘专家劳务费的项目一共有14个，包括</w:t>
      </w:r>
      <w:r>
        <w:rPr>
          <w:rFonts w:hint="eastAsia" w:ascii="仿宋_GB2312" w:eastAsia="仿宋_GB2312"/>
          <w:b w:val="0"/>
          <w:bCs w:val="0"/>
          <w:sz w:val="32"/>
          <w:szCs w:val="32"/>
          <w:lang w:val="en-US" w:eastAsia="zh-CN"/>
        </w:rPr>
        <w:t>轨道交通、保障性安居工程、市委党校工程、滹沱河生态修复、机构撤并财务资产清查</w:t>
      </w:r>
      <w:bookmarkStart w:id="0" w:name="_GoBack"/>
      <w:bookmarkEnd w:id="0"/>
      <w:r>
        <w:rPr>
          <w:rFonts w:hint="eastAsia" w:ascii="仿宋_GB2312" w:eastAsia="仿宋_GB2312"/>
          <w:b w:val="0"/>
          <w:bCs w:val="0"/>
          <w:sz w:val="32"/>
          <w:szCs w:val="32"/>
          <w:lang w:val="en-US" w:eastAsia="zh-CN"/>
        </w:rPr>
        <w:t>等项目。</w:t>
      </w:r>
    </w:p>
    <w:p>
      <w:pPr>
        <w:widowControl w:val="0"/>
        <w:numPr>
          <w:ilvl w:val="0"/>
          <w:numId w:val="0"/>
        </w:numPr>
        <w:wordWrap/>
        <w:adjustRightInd w:val="0"/>
        <w:snapToGrid w:val="0"/>
        <w:spacing w:line="360" w:lineRule="auto"/>
        <w:ind w:leftChars="200" w:right="0" w:rightChars="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4、项目资金投入情况</w:t>
      </w:r>
    </w:p>
    <w:p>
      <w:pPr>
        <w:widowControl w:val="0"/>
        <w:numPr>
          <w:ilvl w:val="0"/>
          <w:numId w:val="0"/>
        </w:numPr>
        <w:wordWrap/>
        <w:adjustRightInd w:val="0"/>
        <w:snapToGrid w:val="0"/>
        <w:spacing w:line="360" w:lineRule="auto"/>
        <w:ind w:left="16" w:leftChars="0" w:right="0" w:rightChars="0" w:hanging="16" w:hangingChars="5"/>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外聘专家劳务费项目调整预算数为360万元，经费形式为财政性资金保证。</w:t>
      </w:r>
    </w:p>
    <w:p>
      <w:pPr>
        <w:widowControl w:val="0"/>
        <w:wordWrap/>
        <w:adjustRightInd w:val="0"/>
        <w:snapToGrid w:val="0"/>
        <w:spacing w:line="360" w:lineRule="auto"/>
        <w:ind w:left="0" w:leftChars="0" w:right="0" w:firstLine="0" w:firstLineChars="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lang w:eastAsia="zh-CN"/>
        </w:rPr>
        <w:t>总体目标是：</w:t>
      </w:r>
      <w:r>
        <w:rPr>
          <w:rFonts w:hint="eastAsia" w:ascii="仿宋_GB2312" w:eastAsia="仿宋_GB2312"/>
          <w:sz w:val="32"/>
          <w:szCs w:val="32"/>
        </w:rPr>
        <w:t>围绕全年审计计划，根据相关规定，外聘中介机构参与政府投资建设项目审计，对审计工作人员进行培训，提供技术咨询和辅助确认，参与现场审计，查出违法违规问题。</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年度目标：包括产出指标、效益指标和满意度指标</w:t>
      </w:r>
    </w:p>
    <w:p>
      <w:pPr>
        <w:widowControl w:val="0"/>
        <w:wordWrap/>
        <w:adjustRightInd w:val="0"/>
        <w:snapToGrid w:val="0"/>
        <w:spacing w:line="360" w:lineRule="auto"/>
        <w:ind w:left="0" w:leftChars="0" w:right="0" w:firstLine="640" w:firstLineChars="200"/>
        <w:textAlignment w:val="auto"/>
        <w:outlineLvl w:val="9"/>
        <w:rPr>
          <w:rFonts w:hint="eastAsia" w:ascii="宋体" w:hAnsi="宋体" w:cs="宋体"/>
          <w:sz w:val="32"/>
          <w:szCs w:val="32"/>
          <w:lang w:val="en-US" w:eastAsia="zh-CN"/>
        </w:rPr>
      </w:pPr>
      <w:r>
        <w:rPr>
          <w:rFonts w:hint="eastAsia" w:ascii="仿宋_GB2312" w:eastAsia="仿宋_GB2312"/>
          <w:sz w:val="32"/>
          <w:szCs w:val="32"/>
          <w:lang w:eastAsia="zh-CN"/>
        </w:rPr>
        <w:t>产出指标：资产投资项目审计计划完成率≧</w:t>
      </w:r>
      <w:r>
        <w:rPr>
          <w:rFonts w:hint="eastAsia" w:ascii="仿宋_GB2312" w:eastAsia="仿宋_GB2312"/>
          <w:sz w:val="32"/>
          <w:szCs w:val="32"/>
          <w:lang w:val="en-US" w:eastAsia="zh-CN"/>
        </w:rPr>
        <w:t>90%</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效益指标：政策建议采纳率</w:t>
      </w:r>
      <w:r>
        <w:rPr>
          <w:rFonts w:hint="eastAsia" w:ascii="仿宋_GB2312" w:eastAsia="仿宋_GB2312"/>
          <w:sz w:val="32"/>
          <w:szCs w:val="32"/>
          <w:lang w:eastAsia="zh-CN"/>
        </w:rPr>
        <w:t>≧</w:t>
      </w:r>
      <w:r>
        <w:rPr>
          <w:rFonts w:hint="eastAsia" w:ascii="仿宋_GB2312" w:eastAsia="仿宋_GB2312"/>
          <w:sz w:val="32"/>
          <w:szCs w:val="32"/>
          <w:lang w:val="en-US" w:eastAsia="zh-CN"/>
        </w:rPr>
        <w:t>90%</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强化项目建设资金的管理工作，提高资金使用效率</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满意度指标：相关单位、人员满意度</w:t>
      </w:r>
      <w:r>
        <w:rPr>
          <w:rFonts w:hint="eastAsia" w:ascii="仿宋_GB2312" w:eastAsia="仿宋_GB2312"/>
          <w:sz w:val="32"/>
          <w:szCs w:val="32"/>
          <w:lang w:eastAsia="zh-CN"/>
        </w:rPr>
        <w:t>≧</w:t>
      </w:r>
      <w:r>
        <w:rPr>
          <w:rFonts w:hint="eastAsia" w:ascii="仿宋_GB2312" w:eastAsia="仿宋_GB2312"/>
          <w:sz w:val="32"/>
          <w:szCs w:val="32"/>
          <w:lang w:val="en-US" w:eastAsia="zh-CN"/>
        </w:rPr>
        <w:t>90%</w:t>
      </w:r>
    </w:p>
    <w:p>
      <w:pPr>
        <w:widowControl w:val="0"/>
        <w:wordWrap/>
        <w:adjustRightInd w:val="0"/>
        <w:snapToGrid w:val="0"/>
        <w:spacing w:line="360" w:lineRule="auto"/>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9"/>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wordWrap/>
        <w:spacing w:line="360" w:lineRule="auto"/>
        <w:ind w:left="0" w:leftChars="0" w:right="0" w:firstLine="640" w:firstLine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成立绩效自评工作领导小组</w:t>
      </w:r>
    </w:p>
    <w:p>
      <w:pPr>
        <w:widowControl w:val="0"/>
        <w:wordWrap/>
        <w:spacing w:line="360" w:lineRule="auto"/>
        <w:ind w:left="0" w:leftChars="0" w:right="0" w:firstLine="640" w:firstLineChars="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组  长：审计局副局长李强平</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rPr>
      </w:pPr>
      <w:r>
        <w:rPr>
          <w:rFonts w:hint="eastAsia" w:ascii="仿宋" w:hAnsi="仿宋" w:eastAsia="仿宋" w:cs="仿宋"/>
          <w:b w:val="0"/>
          <w:bCs w:val="0"/>
          <w:sz w:val="32"/>
          <w:szCs w:val="32"/>
          <w:lang w:val="en-US" w:eastAsia="zh-CN"/>
        </w:rPr>
        <w:t>组  员：审计局办公室主任梁春景、财务人员吴广卿、固定资产投资审计处处长茹新杰、财政审计处处长孟立新担任。</w:t>
      </w:r>
      <w:r>
        <w:rPr>
          <w:rFonts w:hint="eastAsia" w:ascii="仿宋_GB2312" w:eastAsia="仿宋_GB2312"/>
          <w:sz w:val="32"/>
          <w:szCs w:val="32"/>
        </w:rPr>
        <w:t>说明项目</w:t>
      </w:r>
      <w:r>
        <w:rPr>
          <w:rFonts w:hint="eastAsia" w:ascii="仿宋_GB2312" w:eastAsia="仿宋_GB2312"/>
          <w:sz w:val="32"/>
          <w:szCs w:val="32"/>
          <w:lang w:eastAsia="zh-CN"/>
        </w:rPr>
        <w:t>评价</w:t>
      </w:r>
      <w:r>
        <w:rPr>
          <w:rFonts w:hint="eastAsia" w:ascii="仿宋_GB2312" w:eastAsia="仿宋_GB2312"/>
          <w:sz w:val="32"/>
          <w:szCs w:val="32"/>
        </w:rPr>
        <w:t>资料收集、评</w:t>
      </w:r>
      <w:r>
        <w:rPr>
          <w:rFonts w:hint="eastAsia" w:ascii="仿宋_GB2312" w:eastAsia="仿宋_GB2312"/>
          <w:sz w:val="32"/>
          <w:szCs w:val="32"/>
          <w:lang w:eastAsia="zh-CN"/>
        </w:rPr>
        <w:t>价</w:t>
      </w:r>
      <w:r>
        <w:rPr>
          <w:rFonts w:hint="eastAsia" w:ascii="仿宋_GB2312" w:eastAsia="仿宋_GB2312"/>
          <w:sz w:val="32"/>
          <w:szCs w:val="32"/>
        </w:rPr>
        <w:t>过程、</w:t>
      </w:r>
      <w:r>
        <w:rPr>
          <w:rFonts w:hint="eastAsia" w:ascii="仿宋_GB2312" w:eastAsia="仿宋_GB2312"/>
          <w:sz w:val="32"/>
          <w:szCs w:val="32"/>
          <w:lang w:eastAsia="zh-CN"/>
        </w:rPr>
        <w:t>评价</w:t>
      </w:r>
      <w:r>
        <w:rPr>
          <w:rFonts w:hint="eastAsia" w:ascii="仿宋_GB2312" w:eastAsia="仿宋_GB2312"/>
          <w:sz w:val="32"/>
          <w:szCs w:val="32"/>
        </w:rPr>
        <w:t>工作管理组织等情况。</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rPr>
      </w:pPr>
      <w:r>
        <w:rPr>
          <w:rFonts w:hint="eastAsia" w:ascii="仿宋_GB2312" w:eastAsia="仿宋_GB2312"/>
          <w:sz w:val="32"/>
          <w:szCs w:val="32"/>
          <w:lang w:eastAsia="zh-CN"/>
        </w:rPr>
        <w:t>绩效评价工作方案制定过程。一是</w:t>
      </w:r>
      <w:r>
        <w:rPr>
          <w:rFonts w:hint="eastAsia" w:ascii="仿宋_GB2312" w:eastAsia="仿宋_GB2312"/>
          <w:sz w:val="32"/>
          <w:szCs w:val="32"/>
        </w:rPr>
        <w:t>前期调研</w:t>
      </w:r>
      <w:r>
        <w:rPr>
          <w:rFonts w:hint="eastAsia" w:ascii="仿宋_GB2312" w:eastAsia="仿宋_GB2312"/>
          <w:sz w:val="32"/>
          <w:szCs w:val="32"/>
          <w:lang w:eastAsia="zh-CN"/>
        </w:rPr>
        <w:t>。</w:t>
      </w:r>
      <w:r>
        <w:rPr>
          <w:rFonts w:hint="eastAsia" w:ascii="仿宋_GB2312" w:eastAsia="仿宋_GB2312"/>
          <w:sz w:val="32"/>
          <w:szCs w:val="32"/>
        </w:rPr>
        <w:t>根据绩效评价要求，</w:t>
      </w:r>
      <w:r>
        <w:rPr>
          <w:rFonts w:hint="eastAsia" w:ascii="仿宋_GB2312" w:eastAsia="仿宋_GB2312"/>
          <w:sz w:val="32"/>
          <w:szCs w:val="32"/>
          <w:lang w:eastAsia="zh-CN"/>
        </w:rPr>
        <w:t>由办公室</w:t>
      </w:r>
      <w:r>
        <w:rPr>
          <w:rFonts w:hint="eastAsia" w:ascii="仿宋_GB2312" w:eastAsia="仿宋_GB2312"/>
          <w:sz w:val="32"/>
          <w:szCs w:val="32"/>
        </w:rPr>
        <w:t>开展总体情况</w:t>
      </w:r>
      <w:r>
        <w:rPr>
          <w:rFonts w:hint="eastAsia" w:ascii="仿宋_GB2312" w:eastAsia="仿宋_GB2312"/>
          <w:sz w:val="32"/>
          <w:szCs w:val="32"/>
          <w:lang w:eastAsia="zh-CN"/>
        </w:rPr>
        <w:t>检查</w:t>
      </w:r>
      <w:r>
        <w:rPr>
          <w:rFonts w:hint="eastAsia" w:ascii="仿宋_GB2312" w:eastAsia="仿宋_GB2312"/>
          <w:sz w:val="32"/>
          <w:szCs w:val="32"/>
        </w:rPr>
        <w:t xml:space="preserve">，查阅 </w:t>
      </w:r>
      <w:r>
        <w:rPr>
          <w:rFonts w:hint="eastAsia" w:ascii="仿宋_GB2312" w:eastAsia="仿宋_GB2312"/>
          <w:sz w:val="32"/>
          <w:szCs w:val="32"/>
          <w:lang w:val="en-US" w:eastAsia="zh-CN"/>
        </w:rPr>
        <w:t>2019</w:t>
      </w:r>
      <w:r>
        <w:rPr>
          <w:rFonts w:hint="eastAsia" w:ascii="仿宋_GB2312" w:eastAsia="仿宋_GB2312"/>
          <w:sz w:val="32"/>
          <w:szCs w:val="32"/>
        </w:rPr>
        <w:t>年度项目执行情况及资金使用情况等。</w:t>
      </w:r>
      <w:r>
        <w:rPr>
          <w:rFonts w:hint="eastAsia" w:ascii="仿宋_GB2312" w:eastAsia="仿宋_GB2312"/>
          <w:sz w:val="32"/>
          <w:szCs w:val="32"/>
          <w:lang w:eastAsia="zh-CN"/>
        </w:rPr>
        <w:t>二是</w:t>
      </w:r>
      <w:r>
        <w:rPr>
          <w:rFonts w:hint="eastAsia" w:ascii="仿宋_GB2312" w:eastAsia="仿宋_GB2312"/>
          <w:sz w:val="32"/>
          <w:szCs w:val="32"/>
        </w:rPr>
        <w:t>评价指标体系及方案设计</w:t>
      </w:r>
      <w:r>
        <w:rPr>
          <w:rFonts w:hint="eastAsia" w:ascii="仿宋_GB2312" w:eastAsia="仿宋_GB2312"/>
          <w:sz w:val="32"/>
          <w:szCs w:val="32"/>
          <w:lang w:eastAsia="zh-CN"/>
        </w:rPr>
        <w:t>。自评</w:t>
      </w:r>
      <w:r>
        <w:rPr>
          <w:rFonts w:hint="eastAsia" w:ascii="仿宋_GB2312" w:eastAsia="仿宋_GB2312"/>
          <w:sz w:val="32"/>
          <w:szCs w:val="32"/>
        </w:rPr>
        <w:t>小组</w:t>
      </w:r>
      <w:r>
        <w:rPr>
          <w:rFonts w:hint="eastAsia" w:ascii="仿宋_GB2312" w:eastAsia="仿宋_GB2312"/>
          <w:sz w:val="32"/>
          <w:szCs w:val="32"/>
          <w:lang w:eastAsia="zh-CN"/>
        </w:rPr>
        <w:t>熟悉</w:t>
      </w:r>
      <w:r>
        <w:rPr>
          <w:rFonts w:hint="eastAsia" w:ascii="仿宋_GB2312" w:eastAsia="仿宋_GB2312"/>
          <w:sz w:val="32"/>
          <w:szCs w:val="32"/>
        </w:rPr>
        <w:t>项目预算编制依据，项目实施流程，项目质量控制制度等初步情况后，依据</w:t>
      </w:r>
      <w:r>
        <w:rPr>
          <w:rFonts w:hint="eastAsia" w:ascii="仿宋_GB2312" w:eastAsia="仿宋_GB2312"/>
          <w:sz w:val="32"/>
          <w:szCs w:val="32"/>
          <w:lang w:eastAsia="zh-CN"/>
        </w:rPr>
        <w:t>市财政局下发的相关绩效评价</w:t>
      </w:r>
      <w:r>
        <w:rPr>
          <w:rFonts w:hint="eastAsia" w:ascii="仿宋_GB2312" w:eastAsia="仿宋_GB2312"/>
          <w:sz w:val="32"/>
          <w:szCs w:val="32"/>
        </w:rPr>
        <w:t>文件制定工作方案，</w:t>
      </w:r>
      <w:r>
        <w:rPr>
          <w:rFonts w:hint="eastAsia" w:ascii="仿宋_GB2312" w:eastAsia="仿宋_GB2312"/>
          <w:sz w:val="32"/>
          <w:szCs w:val="32"/>
          <w:lang w:eastAsia="zh-CN"/>
        </w:rPr>
        <w:t>制定自评方案</w:t>
      </w:r>
      <w:r>
        <w:rPr>
          <w:rFonts w:hint="eastAsia" w:ascii="仿宋_GB2312" w:eastAsia="仿宋_GB2312"/>
          <w:sz w:val="32"/>
          <w:szCs w:val="32"/>
        </w:rPr>
        <w:t>。</w:t>
      </w:r>
    </w:p>
    <w:p>
      <w:pPr>
        <w:widowControl w:val="0"/>
        <w:wordWrap/>
        <w:spacing w:line="360" w:lineRule="auto"/>
        <w:ind w:left="0" w:leftChars="0" w:right="0" w:firstLine="642" w:firstLineChars="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（二）自评的方法和过程</w:t>
      </w:r>
    </w:p>
    <w:p>
      <w:pPr>
        <w:widowControl w:val="0"/>
        <w:wordWrap/>
        <w:spacing w:line="360" w:lineRule="auto"/>
        <w:ind w:left="0" w:leftChars="0" w:right="0" w:firstLine="642" w:firstLineChars="0"/>
        <w:jc w:val="both"/>
        <w:textAlignment w:val="auto"/>
        <w:outlineLvl w:val="9"/>
        <w:rPr>
          <w:rFonts w:hint="eastAsia" w:ascii="楷体_GB2312" w:hAnsi="楷体_GB2312" w:eastAsia="楷体_GB2312" w:cs="楷体_GB2312"/>
          <w:b/>
          <w:bCs/>
          <w:sz w:val="32"/>
          <w:szCs w:val="32"/>
          <w:lang w:val="en-US" w:eastAsia="zh-CN"/>
        </w:rPr>
      </w:pPr>
      <w:r>
        <w:rPr>
          <w:rFonts w:hint="eastAsia" w:ascii="仿宋" w:hAnsi="仿宋" w:eastAsia="仿宋" w:cs="仿宋"/>
          <w:sz w:val="32"/>
          <w:szCs w:val="32"/>
          <w:lang w:val="en-US" w:eastAsia="zh-CN"/>
        </w:rPr>
        <w:t>本次绩效评价主要采取座谈会、查阅相关资料、问卷调查</w:t>
      </w:r>
      <w:r>
        <w:rPr>
          <w:rFonts w:hint="eastAsia" w:ascii="仿宋" w:hAnsi="仿宋" w:eastAsia="仿宋" w:cs="仿宋"/>
          <w:color w:val="000000"/>
          <w:sz w:val="32"/>
          <w:szCs w:val="32"/>
          <w:lang w:val="en-US" w:eastAsia="zh-CN"/>
        </w:rPr>
        <w:t>等方式进行评价。1、收集使用外聘专家劳务费项目的相关资料，并对资料进行归纳分析。查阅评审、招投标、验收报告、财务资料等相关文件，对业务管理和财务管理指标部分进行评价。2、问卷调查。通过电话回访和发放问卷，收集被审计对象和项目负责、主审人员满意度评价资料。</w:t>
      </w:r>
    </w:p>
    <w:p>
      <w:pPr>
        <w:widowControl w:val="0"/>
        <w:numPr>
          <w:ilvl w:val="0"/>
          <w:numId w:val="0"/>
        </w:numPr>
        <w:wordWrap/>
        <w:spacing w:line="360" w:lineRule="auto"/>
        <w:ind w:left="0" w:leftChars="0" w:right="0" w:firstLine="642"/>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（三）建立绩效评价指标体系</w:t>
      </w:r>
    </w:p>
    <w:p>
      <w:pPr>
        <w:widowControl w:val="0"/>
        <w:numPr>
          <w:ilvl w:val="0"/>
          <w:numId w:val="0"/>
        </w:numPr>
        <w:wordWrap/>
        <w:spacing w:line="360" w:lineRule="auto"/>
        <w:ind w:left="0" w:leftChars="0" w:right="0" w:firstLine="642"/>
        <w:jc w:val="both"/>
        <w:textAlignment w:val="auto"/>
        <w:outlineLvl w:val="9"/>
        <w:rPr>
          <w:rFonts w:hint="eastAsia" w:ascii="楷体_GB2312" w:hAnsi="楷体_GB2312" w:eastAsia="楷体_GB2312" w:cs="楷体_GB2312"/>
          <w:b/>
          <w:bCs/>
          <w:sz w:val="32"/>
          <w:szCs w:val="32"/>
          <w:lang w:val="en-US" w:eastAsia="zh-CN"/>
        </w:rPr>
      </w:pPr>
    </w:p>
    <w:p>
      <w:pPr>
        <w:widowControl w:val="0"/>
        <w:numPr>
          <w:ilvl w:val="0"/>
          <w:numId w:val="0"/>
        </w:numPr>
        <w:wordWrap/>
        <w:spacing w:line="360" w:lineRule="auto"/>
        <w:ind w:left="0" w:leftChars="0" w:right="0" w:firstLine="642"/>
        <w:jc w:val="both"/>
        <w:textAlignment w:val="auto"/>
        <w:outlineLvl w:val="9"/>
        <w:rPr>
          <w:rFonts w:hint="eastAsia" w:ascii="楷体_GB2312" w:hAnsi="楷体_GB2312" w:eastAsia="楷体_GB2312" w:cs="楷体_GB2312"/>
          <w:b/>
          <w:bCs/>
          <w:sz w:val="32"/>
          <w:szCs w:val="32"/>
          <w:lang w:val="en-US" w:eastAsia="zh-CN"/>
        </w:rPr>
      </w:pPr>
    </w:p>
    <w:p>
      <w:pPr>
        <w:widowControl w:val="0"/>
        <w:numPr>
          <w:ilvl w:val="0"/>
          <w:numId w:val="0"/>
        </w:numPr>
        <w:wordWrap/>
        <w:spacing w:line="360" w:lineRule="auto"/>
        <w:ind w:left="0" w:leftChars="0" w:right="0" w:firstLine="642"/>
        <w:jc w:val="both"/>
        <w:textAlignment w:val="auto"/>
        <w:outlineLvl w:val="9"/>
        <w:rPr>
          <w:rFonts w:hint="eastAsia" w:ascii="楷体_GB2312" w:hAnsi="楷体_GB2312" w:eastAsia="楷体_GB2312" w:cs="楷体_GB2312"/>
          <w:b/>
          <w:bCs/>
          <w:sz w:val="32"/>
          <w:szCs w:val="32"/>
          <w:lang w:val="en-US" w:eastAsia="zh-CN"/>
        </w:rPr>
      </w:pPr>
    </w:p>
    <w:tbl>
      <w:tblPr>
        <w:tblStyle w:val="5"/>
        <w:tblW w:w="86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80"/>
        <w:gridCol w:w="1080"/>
        <w:gridCol w:w="1080"/>
        <w:gridCol w:w="2160"/>
        <w:gridCol w:w="1080"/>
        <w:gridCol w:w="1080"/>
        <w:gridCol w:w="10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90" w:hRule="atLeast"/>
        </w:trPr>
        <w:tc>
          <w:tcPr>
            <w:tcW w:w="1080"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Style w:val="6"/>
                <w:lang w:val="en-US" w:eastAsia="zh-CN" w:bidi="ar"/>
              </w:rPr>
              <w:t>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08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08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08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080"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315" w:hRule="atLeast"/>
        </w:trPr>
        <w:tc>
          <w:tcPr>
            <w:tcW w:w="108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080" w:type="dxa"/>
            <w:vMerge w:val="restart"/>
            <w:tcBorders>
              <w:top w:val="single" w:color="000000" w:sz="4" w:space="0"/>
              <w:lef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产出指标（40）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160" w:type="dxa"/>
            <w:vMerge w:val="restart"/>
            <w:tcBorders>
              <w:top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资产投资项目审计计划完成率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285" w:hRule="atLeast"/>
        </w:trPr>
        <w:tc>
          <w:tcPr>
            <w:tcW w:w="108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080" w:type="dxa"/>
            <w:vMerge w:val="continue"/>
            <w:tcBorders>
              <w:top w:val="single" w:color="000000" w:sz="4" w:space="0"/>
              <w:lef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2160" w:type="dxa"/>
            <w:vMerge w:val="continue"/>
            <w:tcBorders>
              <w:top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395" w:hRule="atLeast"/>
        </w:trPr>
        <w:tc>
          <w:tcPr>
            <w:tcW w:w="1080" w:type="dxa"/>
            <w:vMerge w:val="continue"/>
            <w:tcBorders>
              <w:top w:val="single" w:color="000000" w:sz="4" w:space="0"/>
              <w:left w:val="single" w:color="000000" w:sz="4" w:space="0"/>
              <w:bottom w:val="single" w:color="auto"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080"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sz w:val="18"/>
                <w:szCs w:val="18"/>
                <w:u w:val="none"/>
                <w:lang w:val="en-US" w:eastAsia="zh-CN"/>
              </w:rPr>
              <w:t>预算执行资金率</w:t>
            </w:r>
          </w:p>
        </w:tc>
        <w:tc>
          <w:tcPr>
            <w:tcW w:w="1080" w:type="dxa"/>
            <w:tcBorders>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1080" w:type="dxa"/>
            <w:tcBorders>
              <w:left w:val="single" w:color="000000" w:sz="4" w:space="0"/>
              <w:bottom w:val="single" w:color="auto"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83.55%</w:t>
            </w:r>
          </w:p>
        </w:tc>
        <w:tc>
          <w:tcPr>
            <w:tcW w:w="1080"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50" w:hRule="atLeast"/>
        </w:trPr>
        <w:tc>
          <w:tcPr>
            <w:tcW w:w="1080" w:type="dxa"/>
            <w:vMerge w:val="continue"/>
            <w:tcBorders>
              <w:top w:val="single" w:color="auto"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080" w:type="dxa"/>
            <w:vMerge w:val="restart"/>
            <w:tcBorders>
              <w:top w:val="single" w:color="auto"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效益指标（40）</w:t>
            </w:r>
          </w:p>
        </w:tc>
        <w:tc>
          <w:tcPr>
            <w:tcW w:w="1080" w:type="dxa"/>
            <w:tcBorders>
              <w:top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政策建议采纳率</w:t>
            </w:r>
          </w:p>
        </w:tc>
        <w:tc>
          <w:tcPr>
            <w:tcW w:w="1080"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80"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8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480" w:hRule="atLeast"/>
        </w:trPr>
        <w:tc>
          <w:tcPr>
            <w:tcW w:w="108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080" w:type="dxa"/>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080" w:type="dxa"/>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lang w:eastAsia="zh-CN"/>
              </w:rPr>
            </w:pPr>
            <w:r>
              <w:rPr>
                <w:rFonts w:hint="eastAsia" w:ascii="宋体" w:hAnsi="宋体" w:cs="宋体"/>
                <w:i w:val="0"/>
                <w:color w:val="000000"/>
                <w:sz w:val="18"/>
                <w:szCs w:val="18"/>
                <w:u w:val="none"/>
                <w:lang w:eastAsia="zh-CN"/>
              </w:rPr>
              <w:t>经济效益指标</w:t>
            </w:r>
          </w:p>
        </w:tc>
        <w:tc>
          <w:tcPr>
            <w:tcW w:w="2160"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强化项目建设资金的管理工作，提高资金使用效率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完成</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cs="宋体"/>
                <w:i w:val="0"/>
                <w:color w:val="000000"/>
                <w:kern w:val="0"/>
                <w:sz w:val="18"/>
                <w:szCs w:val="18"/>
                <w:u w:val="none"/>
                <w:lang w:val="en-US" w:eastAsia="zh-CN" w:bidi="ar"/>
              </w:rPr>
              <w:t>促进了被审计单位提高投资绩效</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trHeight w:val="450" w:hRule="atLeast"/>
        </w:trPr>
        <w:tc>
          <w:tcPr>
            <w:tcW w:w="108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080"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群众满意率</w:t>
            </w:r>
          </w:p>
        </w:tc>
        <w:tc>
          <w:tcPr>
            <w:tcW w:w="1080" w:type="dxa"/>
            <w:tcBorders>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80" w:type="dxa"/>
            <w:tcBorders>
              <w:lef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90" w:hRule="atLeast"/>
        </w:trPr>
        <w:tc>
          <w:tcPr>
            <w:tcW w:w="1080"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18"/>
                <w:szCs w:val="18"/>
                <w:u w:val="none"/>
              </w:rPr>
            </w:pPr>
          </w:p>
        </w:tc>
        <w:tc>
          <w:tcPr>
            <w:tcW w:w="648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r>
    </w:tbl>
    <w:p>
      <w:pPr>
        <w:widowControl w:val="0"/>
        <w:wordWrap/>
        <w:spacing w:line="360" w:lineRule="auto"/>
        <w:ind w:left="0" w:leftChars="0" w:right="0"/>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1"/>
        </w:numPr>
        <w:wordWrap/>
        <w:spacing w:line="360" w:lineRule="auto"/>
        <w:ind w:left="0" w:leftChars="0" w:right="0" w:firstLine="640"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2019年度外聘专家劳务费预算安排360万元，实际支出300.77万元。</w:t>
      </w:r>
      <w:r>
        <w:rPr>
          <w:rFonts w:hint="eastAsia" w:ascii="仿宋_GB2312" w:hAnsi="仿宋_GB2312" w:eastAsia="仿宋_GB2312" w:cs="仿宋_GB2312"/>
          <w:color w:val="000000"/>
          <w:kern w:val="0"/>
          <w:sz w:val="32"/>
          <w:szCs w:val="32"/>
          <w:lang w:val="en-US" w:eastAsia="zh-CN"/>
        </w:rPr>
        <w:t>该</w:t>
      </w:r>
      <w:r>
        <w:rPr>
          <w:rFonts w:hint="eastAsia" w:ascii="仿宋_GB2312" w:hAnsi="仿宋_GB2312" w:eastAsia="仿宋_GB2312" w:cs="仿宋_GB2312"/>
          <w:bCs/>
          <w:color w:val="000000"/>
          <w:sz w:val="32"/>
          <w:szCs w:val="32"/>
        </w:rPr>
        <w:t>指标分值为</w:t>
      </w:r>
      <w:r>
        <w:rPr>
          <w:rFonts w:hint="eastAsia" w:ascii="仿宋_GB2312" w:hAnsi="仿宋_GB2312" w:eastAsia="仿宋_GB2312" w:cs="仿宋_GB2312"/>
          <w:bCs/>
          <w:color w:val="000000"/>
          <w:kern w:val="0"/>
          <w:sz w:val="32"/>
          <w:szCs w:val="32"/>
          <w:lang w:val="en-US" w:eastAsia="zh-CN"/>
        </w:rPr>
        <w:t>1</w:t>
      </w:r>
      <w:r>
        <w:rPr>
          <w:rFonts w:hint="eastAsia" w:ascii="仿宋_GB2312" w:hAnsi="仿宋_GB2312" w:eastAsia="仿宋_GB2312" w:cs="仿宋_GB2312"/>
          <w:bCs/>
          <w:color w:val="000000"/>
          <w:kern w:val="0"/>
          <w:sz w:val="32"/>
          <w:szCs w:val="32"/>
        </w:rPr>
        <w:t>0分，</w:t>
      </w:r>
      <w:r>
        <w:rPr>
          <w:rFonts w:hint="eastAsia" w:ascii="仿宋_GB2312" w:hAnsi="仿宋_GB2312" w:eastAsia="仿宋_GB2312" w:cs="仿宋_GB2312"/>
          <w:bCs/>
          <w:color w:val="000000"/>
          <w:sz w:val="32"/>
          <w:szCs w:val="32"/>
        </w:rPr>
        <w:t>得</w:t>
      </w:r>
      <w:r>
        <w:rPr>
          <w:rFonts w:hint="eastAsia" w:ascii="仿宋_GB2312" w:hAnsi="仿宋_GB2312" w:eastAsia="仿宋_GB2312" w:cs="仿宋_GB2312"/>
          <w:bCs/>
          <w:color w:val="000000"/>
          <w:sz w:val="32"/>
          <w:szCs w:val="32"/>
          <w:lang w:val="en-US" w:eastAsia="zh-CN"/>
        </w:rPr>
        <w:t>5</w:t>
      </w:r>
      <w:r>
        <w:rPr>
          <w:rFonts w:hint="eastAsia" w:ascii="仿宋_GB2312" w:hAnsi="仿宋_GB2312" w:eastAsia="仿宋_GB2312" w:cs="仿宋_GB2312"/>
          <w:bCs/>
          <w:color w:val="000000"/>
          <w:sz w:val="32"/>
          <w:szCs w:val="32"/>
        </w:rPr>
        <w:t>分</w:t>
      </w:r>
      <w:r>
        <w:rPr>
          <w:rFonts w:hint="eastAsia" w:ascii="仿宋_GB2312" w:hAnsi="仿宋_GB2312" w:eastAsia="仿宋_GB2312" w:cs="仿宋_GB2312"/>
          <w:bCs/>
          <w:color w:val="000000"/>
          <w:sz w:val="32"/>
          <w:szCs w:val="32"/>
          <w:lang w:eastAsia="zh-CN"/>
        </w:rPr>
        <w:t>。</w:t>
      </w:r>
    </w:p>
    <w:p>
      <w:pPr>
        <w:widowControl w:val="0"/>
        <w:numPr>
          <w:ilvl w:val="0"/>
          <w:numId w:val="0"/>
        </w:numPr>
        <w:wordWrap/>
        <w:spacing w:line="360" w:lineRule="auto"/>
        <w:ind w:left="0" w:leftChars="0" w:right="0"/>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2019年度主要完成了轨道交通、保障性安居工程、市委党校工程、滹沱河景区、机构撤并等14个项目进行了审计，年度安排的投资项目审计计划全部完成。</w:t>
      </w:r>
      <w:r>
        <w:rPr>
          <w:rFonts w:hint="eastAsia" w:ascii="仿宋_GB2312" w:hAnsi="仿宋_GB2312" w:eastAsia="仿宋_GB2312" w:cs="仿宋_GB2312"/>
          <w:color w:val="000000"/>
          <w:kern w:val="0"/>
          <w:sz w:val="32"/>
          <w:szCs w:val="32"/>
          <w:lang w:val="en-US" w:eastAsia="zh-CN"/>
        </w:rPr>
        <w:t>该</w:t>
      </w:r>
      <w:r>
        <w:rPr>
          <w:rFonts w:hint="eastAsia" w:ascii="仿宋_GB2312" w:hAnsi="仿宋_GB2312" w:eastAsia="仿宋_GB2312" w:cs="仿宋_GB2312"/>
          <w:bCs/>
          <w:color w:val="000000"/>
          <w:sz w:val="32"/>
          <w:szCs w:val="32"/>
        </w:rPr>
        <w:t>指标分值为</w:t>
      </w:r>
      <w:r>
        <w:rPr>
          <w:rFonts w:hint="eastAsia" w:ascii="仿宋_GB2312" w:hAnsi="仿宋_GB2312" w:eastAsia="仿宋_GB2312" w:cs="仿宋_GB2312"/>
          <w:bCs/>
          <w:color w:val="000000"/>
          <w:kern w:val="0"/>
          <w:sz w:val="32"/>
          <w:szCs w:val="32"/>
          <w:lang w:val="en-US" w:eastAsia="zh-CN"/>
        </w:rPr>
        <w:t>4</w:t>
      </w:r>
      <w:r>
        <w:rPr>
          <w:rFonts w:hint="eastAsia" w:ascii="仿宋_GB2312" w:hAnsi="仿宋_GB2312" w:eastAsia="仿宋_GB2312" w:cs="仿宋_GB2312"/>
          <w:bCs/>
          <w:color w:val="000000"/>
          <w:kern w:val="0"/>
          <w:sz w:val="32"/>
          <w:szCs w:val="32"/>
        </w:rPr>
        <w:t>0分，</w:t>
      </w:r>
      <w:r>
        <w:rPr>
          <w:rFonts w:hint="eastAsia" w:ascii="仿宋_GB2312" w:hAnsi="仿宋_GB2312" w:eastAsia="仿宋_GB2312" w:cs="仿宋_GB2312"/>
          <w:bCs/>
          <w:color w:val="000000"/>
          <w:sz w:val="32"/>
          <w:szCs w:val="32"/>
        </w:rPr>
        <w:t>得</w:t>
      </w:r>
      <w:r>
        <w:rPr>
          <w:rFonts w:hint="eastAsia" w:ascii="仿宋_GB2312" w:hAnsi="仿宋_GB2312" w:eastAsia="仿宋_GB2312" w:cs="仿宋_GB2312"/>
          <w:bCs/>
          <w:color w:val="000000"/>
          <w:sz w:val="32"/>
          <w:szCs w:val="32"/>
          <w:lang w:val="en-US" w:eastAsia="zh-CN"/>
        </w:rPr>
        <w:t>4</w:t>
      </w:r>
      <w:r>
        <w:rPr>
          <w:rFonts w:hint="eastAsia" w:ascii="仿宋_GB2312" w:hAnsi="仿宋_GB2312" w:eastAsia="仿宋_GB2312" w:cs="仿宋_GB2312"/>
          <w:bCs/>
          <w:color w:val="000000"/>
          <w:sz w:val="32"/>
          <w:szCs w:val="32"/>
        </w:rPr>
        <w:t>0分</w:t>
      </w:r>
      <w:r>
        <w:rPr>
          <w:rFonts w:hint="eastAsia" w:ascii="仿宋_GB2312" w:hAnsi="仿宋_GB2312" w:eastAsia="仿宋_GB2312" w:cs="仿宋_GB2312"/>
          <w:bCs/>
          <w:color w:val="000000"/>
          <w:sz w:val="32"/>
          <w:szCs w:val="32"/>
          <w:lang w:eastAsia="zh-CN"/>
        </w:rPr>
        <w:t>。</w:t>
      </w:r>
    </w:p>
    <w:p>
      <w:pPr>
        <w:widowControl w:val="0"/>
        <w:wordWrap/>
        <w:spacing w:line="360" w:lineRule="auto"/>
        <w:ind w:left="0" w:leftChars="0" w:right="0" w:firstLine="640"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通过强化项目建设资金的预算管理工作，提高了资金的使用效率和效益，促进被审计单位提高投资绩效，被审计单位采纳了审计意见建议书的内容，制定出台系列管理办法，健全内部管理机制。</w:t>
      </w:r>
      <w:r>
        <w:rPr>
          <w:rFonts w:hint="eastAsia" w:ascii="仿宋_GB2312" w:hAnsi="仿宋_GB2312" w:eastAsia="仿宋_GB2312" w:cs="仿宋_GB2312"/>
          <w:color w:val="000000"/>
          <w:kern w:val="0"/>
          <w:sz w:val="32"/>
          <w:szCs w:val="32"/>
          <w:lang w:val="en-US" w:eastAsia="zh-CN"/>
        </w:rPr>
        <w:t>该</w:t>
      </w:r>
      <w:r>
        <w:rPr>
          <w:rFonts w:hint="eastAsia" w:ascii="仿宋_GB2312" w:hAnsi="仿宋_GB2312" w:eastAsia="仿宋_GB2312" w:cs="仿宋_GB2312"/>
          <w:bCs/>
          <w:color w:val="000000"/>
          <w:sz w:val="32"/>
          <w:szCs w:val="32"/>
        </w:rPr>
        <w:t>指标分值为</w:t>
      </w:r>
      <w:r>
        <w:rPr>
          <w:rFonts w:hint="eastAsia" w:ascii="仿宋_GB2312" w:hAnsi="仿宋_GB2312" w:eastAsia="仿宋_GB2312" w:cs="仿宋_GB2312"/>
          <w:bCs/>
          <w:color w:val="000000"/>
          <w:kern w:val="0"/>
          <w:sz w:val="32"/>
          <w:szCs w:val="32"/>
          <w:lang w:val="en-US" w:eastAsia="zh-CN"/>
        </w:rPr>
        <w:t>4</w:t>
      </w:r>
      <w:r>
        <w:rPr>
          <w:rFonts w:hint="eastAsia" w:ascii="仿宋_GB2312" w:hAnsi="仿宋_GB2312" w:eastAsia="仿宋_GB2312" w:cs="仿宋_GB2312"/>
          <w:bCs/>
          <w:color w:val="000000"/>
          <w:kern w:val="0"/>
          <w:sz w:val="32"/>
          <w:szCs w:val="32"/>
        </w:rPr>
        <w:t>0分，</w:t>
      </w:r>
      <w:r>
        <w:rPr>
          <w:rFonts w:hint="eastAsia" w:ascii="仿宋_GB2312" w:hAnsi="仿宋_GB2312" w:eastAsia="仿宋_GB2312" w:cs="仿宋_GB2312"/>
          <w:bCs/>
          <w:color w:val="000000"/>
          <w:sz w:val="32"/>
          <w:szCs w:val="32"/>
        </w:rPr>
        <w:t>得</w:t>
      </w:r>
      <w:r>
        <w:rPr>
          <w:rFonts w:hint="eastAsia" w:ascii="仿宋_GB2312" w:hAnsi="仿宋_GB2312" w:eastAsia="仿宋_GB2312" w:cs="仿宋_GB2312"/>
          <w:bCs/>
          <w:color w:val="000000"/>
          <w:sz w:val="32"/>
          <w:szCs w:val="32"/>
          <w:lang w:val="en-US" w:eastAsia="zh-CN"/>
        </w:rPr>
        <w:t>4</w:t>
      </w:r>
      <w:r>
        <w:rPr>
          <w:rFonts w:hint="eastAsia" w:ascii="仿宋_GB2312" w:hAnsi="仿宋_GB2312" w:eastAsia="仿宋_GB2312" w:cs="仿宋_GB2312"/>
          <w:bCs/>
          <w:color w:val="000000"/>
          <w:sz w:val="32"/>
          <w:szCs w:val="32"/>
        </w:rPr>
        <w:t>0分</w:t>
      </w:r>
      <w:r>
        <w:rPr>
          <w:rFonts w:hint="eastAsia" w:ascii="仿宋_GB2312" w:hAnsi="仿宋_GB2312" w:eastAsia="仿宋_GB2312" w:cs="仿宋_GB2312"/>
          <w:bCs/>
          <w:color w:val="000000"/>
          <w:sz w:val="32"/>
          <w:szCs w:val="32"/>
          <w:lang w:eastAsia="zh-CN"/>
        </w:rPr>
        <w:t>。</w:t>
      </w:r>
    </w:p>
    <w:p>
      <w:pPr>
        <w:widowControl w:val="0"/>
        <w:wordWrap/>
        <w:spacing w:line="360" w:lineRule="auto"/>
        <w:ind w:left="0" w:leftChars="0" w:right="0" w:firstLine="640" w:firstLineChars="200"/>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widowControl w:val="0"/>
        <w:numPr>
          <w:ilvl w:val="0"/>
          <w:numId w:val="0"/>
        </w:numPr>
        <w:wordWrap/>
        <w:spacing w:line="360" w:lineRule="auto"/>
        <w:ind w:left="0" w:leftChars="0" w:right="0" w:firstLine="640" w:firstLineChars="200"/>
        <w:textAlignment w:val="auto"/>
        <w:outlineLvl w:val="9"/>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通过电话回访和发放问卷，收集被审计对象和项目负责、主审人员满意度评价，均表示满意。</w:t>
      </w:r>
      <w:r>
        <w:rPr>
          <w:rFonts w:hint="eastAsia" w:ascii="仿宋_GB2312" w:hAnsi="仿宋_GB2312" w:eastAsia="仿宋_GB2312" w:cs="仿宋_GB2312"/>
          <w:color w:val="000000"/>
          <w:kern w:val="0"/>
          <w:sz w:val="32"/>
          <w:szCs w:val="32"/>
          <w:lang w:val="en-US" w:eastAsia="zh-CN"/>
        </w:rPr>
        <w:t>该</w:t>
      </w:r>
      <w:r>
        <w:rPr>
          <w:rFonts w:hint="eastAsia" w:ascii="仿宋_GB2312" w:hAnsi="仿宋_GB2312" w:eastAsia="仿宋_GB2312" w:cs="仿宋_GB2312"/>
          <w:bCs/>
          <w:color w:val="000000"/>
          <w:sz w:val="32"/>
          <w:szCs w:val="32"/>
        </w:rPr>
        <w:t>指标分值为</w:t>
      </w:r>
      <w:r>
        <w:rPr>
          <w:rFonts w:hint="eastAsia" w:ascii="仿宋_GB2312" w:hAnsi="仿宋_GB2312" w:eastAsia="仿宋_GB2312" w:cs="仿宋_GB2312"/>
          <w:bCs/>
          <w:color w:val="000000"/>
          <w:kern w:val="0"/>
          <w:sz w:val="32"/>
          <w:szCs w:val="32"/>
          <w:lang w:val="en-US" w:eastAsia="zh-CN"/>
        </w:rPr>
        <w:t>1</w:t>
      </w:r>
      <w:r>
        <w:rPr>
          <w:rFonts w:hint="eastAsia" w:ascii="仿宋_GB2312" w:hAnsi="仿宋_GB2312" w:eastAsia="仿宋_GB2312" w:cs="仿宋_GB2312"/>
          <w:bCs/>
          <w:color w:val="000000"/>
          <w:kern w:val="0"/>
          <w:sz w:val="32"/>
          <w:szCs w:val="32"/>
        </w:rPr>
        <w:t>0分，</w:t>
      </w:r>
      <w:r>
        <w:rPr>
          <w:rFonts w:hint="eastAsia" w:ascii="仿宋_GB2312" w:hAnsi="仿宋_GB2312" w:eastAsia="仿宋_GB2312" w:cs="仿宋_GB2312"/>
          <w:bCs/>
          <w:color w:val="000000"/>
          <w:sz w:val="32"/>
          <w:szCs w:val="32"/>
        </w:rPr>
        <w:t>得</w:t>
      </w:r>
      <w:r>
        <w:rPr>
          <w:rFonts w:hint="eastAsia" w:ascii="仿宋_GB2312" w:hAnsi="仿宋_GB2312" w:eastAsia="仿宋_GB2312" w:cs="仿宋_GB2312"/>
          <w:bCs/>
          <w:color w:val="000000"/>
          <w:sz w:val="32"/>
          <w:szCs w:val="32"/>
          <w:lang w:val="en-US" w:eastAsia="zh-CN"/>
        </w:rPr>
        <w:t>1</w:t>
      </w:r>
      <w:r>
        <w:rPr>
          <w:rFonts w:hint="eastAsia" w:ascii="仿宋_GB2312" w:hAnsi="仿宋_GB2312" w:eastAsia="仿宋_GB2312" w:cs="仿宋_GB2312"/>
          <w:bCs/>
          <w:color w:val="000000"/>
          <w:sz w:val="32"/>
          <w:szCs w:val="32"/>
        </w:rPr>
        <w:t>0分</w:t>
      </w:r>
      <w:r>
        <w:rPr>
          <w:rFonts w:hint="eastAsia" w:ascii="仿宋_GB2312" w:hAnsi="仿宋_GB2312" w:eastAsia="仿宋_GB2312" w:cs="仿宋_GB2312"/>
          <w:bCs/>
          <w:color w:val="000000"/>
          <w:sz w:val="32"/>
          <w:szCs w:val="32"/>
          <w:lang w:eastAsia="zh-CN"/>
        </w:rPr>
        <w:t>。</w:t>
      </w:r>
    </w:p>
    <w:p>
      <w:pPr>
        <w:widowControl w:val="0"/>
        <w:numPr>
          <w:ilvl w:val="0"/>
          <w:numId w:val="0"/>
        </w:numPr>
        <w:wordWrap/>
        <w:spacing w:line="360" w:lineRule="auto"/>
        <w:ind w:left="0" w:leftChars="0" w:right="0" w:firstLine="640" w:firstLineChars="200"/>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color w:val="000000"/>
          <w:sz w:val="32"/>
          <w:szCs w:val="32"/>
          <w:lang w:val="en-US" w:eastAsia="zh-CN"/>
        </w:rPr>
        <w:t>根据项目执行情况和项目绩效情况，给出总得分，</w:t>
      </w:r>
      <w:r>
        <w:rPr>
          <w:rFonts w:hint="eastAsia" w:ascii="仿宋_GB2312" w:eastAsia="仿宋_GB2312"/>
          <w:color w:val="000000"/>
          <w:sz w:val="32"/>
          <w:szCs w:val="32"/>
        </w:rPr>
        <w:t>指标体系设定满分100分，</w:t>
      </w:r>
      <w:r>
        <w:rPr>
          <w:rFonts w:hint="eastAsia" w:ascii="仿宋_GB2312" w:eastAsia="仿宋_GB2312"/>
          <w:b w:val="0"/>
          <w:bCs w:val="0"/>
          <w:color w:val="000000"/>
          <w:sz w:val="32"/>
          <w:szCs w:val="32"/>
          <w:lang w:val="en-US" w:eastAsia="zh-CN"/>
        </w:rPr>
        <w:t>得出综合评价结论和项目综合绩效评价等级。</w:t>
      </w:r>
      <w:r>
        <w:rPr>
          <w:rFonts w:hint="eastAsia" w:ascii="仿宋_GB2312" w:eastAsia="仿宋_GB2312"/>
          <w:color w:val="000000"/>
          <w:sz w:val="32"/>
          <w:szCs w:val="32"/>
          <w:lang w:eastAsia="zh-CN"/>
        </w:rPr>
        <w:t>经过严格、严谨自评，该项目基本完成了预期绩效，</w:t>
      </w:r>
      <w:r>
        <w:rPr>
          <w:rFonts w:hint="eastAsia" w:ascii="仿宋_GB2312" w:eastAsia="仿宋_GB2312"/>
          <w:b w:val="0"/>
          <w:bCs w:val="0"/>
          <w:color w:val="000000"/>
          <w:sz w:val="32"/>
          <w:szCs w:val="32"/>
          <w:lang w:val="en-US" w:eastAsia="zh-CN"/>
        </w:rPr>
        <w:t>项目综合绩效评价总分 95分，</w:t>
      </w:r>
      <w:r>
        <w:rPr>
          <w:rFonts w:hint="eastAsia" w:ascii="仿宋_GB2312" w:hAnsi="仿宋_GB2312" w:eastAsia="仿宋_GB2312" w:cs="仿宋_GB2312"/>
          <w:color w:val="000000"/>
          <w:sz w:val="32"/>
          <w:szCs w:val="32"/>
        </w:rPr>
        <w:t>绩效评价等级为优</w:t>
      </w:r>
      <w:r>
        <w:rPr>
          <w:rFonts w:hint="eastAsia" w:ascii="仿宋_GB2312" w:hAnsi="仿宋_GB2312" w:eastAsia="仿宋_GB2312" w:cs="仿宋_GB2312"/>
          <w:color w:val="000000"/>
          <w:sz w:val="32"/>
          <w:szCs w:val="32"/>
          <w:lang w:eastAsia="zh-CN"/>
        </w:rPr>
        <w:t>秀。</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0" w:firstLineChars="200"/>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right="0"/>
        <w:textAlignment w:val="auto"/>
        <w:outlineLvl w:val="9"/>
        <w:rPr>
          <w:rFonts w:hint="eastAsia" w:ascii="仿宋_GB2312" w:eastAsia="仿宋_GB2312"/>
          <w:color w:val="000000"/>
          <w:sz w:val="32"/>
          <w:szCs w:val="32"/>
          <w:lang w:val="en-US" w:eastAsia="zh-CN"/>
        </w:rPr>
      </w:pPr>
      <w:r>
        <w:rPr>
          <w:rFonts w:hint="eastAsia" w:ascii="仿宋_GB2312" w:eastAsia="仿宋_GB2312"/>
          <w:color w:val="000000"/>
          <w:sz w:val="32"/>
          <w:szCs w:val="32"/>
          <w:lang w:val="en-US" w:eastAsia="zh-CN"/>
        </w:rPr>
        <w:t xml:space="preserve">    主要问题是资金使用率不高。外聘专家劳务费全年整体支出进度为83.55%，没有达到95%，资金使用率不高。只要是由于重大政府投资项目具有投资额大、工期跨度长、建设环节复杂等特点，造成项目审计一般在年底或者跨年才能结束，造成支付进度缓慢，预算执行率低。</w:t>
      </w:r>
    </w:p>
    <w:p>
      <w:pPr>
        <w:widowControl w:val="0"/>
        <w:numPr>
          <w:ilvl w:val="0"/>
          <w:numId w:val="1"/>
        </w:numPr>
        <w:wordWrap/>
        <w:spacing w:line="360" w:lineRule="auto"/>
        <w:ind w:left="0" w:leftChars="0" w:right="0" w:firstLine="640" w:firstLineChars="200"/>
        <w:textAlignment w:val="auto"/>
        <w:outlineLvl w:val="9"/>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改进措施</w:t>
      </w:r>
    </w:p>
    <w:p>
      <w:pPr>
        <w:widowControl w:val="0"/>
        <w:numPr>
          <w:ilvl w:val="0"/>
          <w:numId w:val="0"/>
        </w:numPr>
        <w:wordWrap/>
        <w:spacing w:line="360" w:lineRule="auto"/>
        <w:ind w:right="0" w:firstLine="640"/>
        <w:textAlignment w:val="auto"/>
        <w:outlineLvl w:val="9"/>
        <w:rPr>
          <w:rFonts w:hint="eastAsia" w:ascii="仿宋_GB2312" w:eastAsia="仿宋_GB2312"/>
          <w:color w:val="000000"/>
          <w:sz w:val="32"/>
          <w:szCs w:val="32"/>
          <w:lang w:val="en-US" w:eastAsia="zh-CN"/>
        </w:rPr>
      </w:pPr>
      <w:r>
        <w:rPr>
          <w:rFonts w:hint="eastAsia" w:ascii="仿宋_GB2312" w:eastAsia="仿宋_GB2312"/>
          <w:color w:val="000000"/>
          <w:sz w:val="32"/>
          <w:szCs w:val="32"/>
          <w:lang w:val="en-US" w:eastAsia="zh-CN"/>
        </w:rPr>
        <w:t>1、合理调整项目计划。合计制定年度审计计划，能调整结算时间的项目及时调整到年中；加大资金支付力度，严格按照全年审计计划进行项目审计，提高会计事务所和工程造价咨询公司使用效率。</w:t>
      </w:r>
    </w:p>
    <w:p>
      <w:pPr>
        <w:widowControl w:val="0"/>
        <w:numPr>
          <w:ilvl w:val="0"/>
          <w:numId w:val="0"/>
        </w:numPr>
        <w:wordWrap/>
        <w:spacing w:line="360" w:lineRule="auto"/>
        <w:ind w:right="0" w:firstLine="640"/>
        <w:textAlignment w:val="auto"/>
        <w:outlineLvl w:val="9"/>
        <w:rPr>
          <w:rFonts w:hint="eastAsia" w:ascii="楷体_GB2312" w:hAnsi="楷体_GB2312" w:eastAsia="楷体_GB2312"/>
          <w:b/>
          <w:bCs/>
          <w:sz w:val="32"/>
          <w:szCs w:val="32"/>
          <w:lang w:val="en-US" w:eastAsia="zh-CN"/>
        </w:rPr>
      </w:pPr>
      <w:r>
        <w:rPr>
          <w:rFonts w:hint="eastAsia" w:ascii="仿宋_GB2312" w:eastAsia="仿宋_GB2312"/>
          <w:color w:val="000000"/>
          <w:sz w:val="32"/>
          <w:szCs w:val="32"/>
          <w:lang w:val="en-US" w:eastAsia="zh-CN"/>
        </w:rPr>
        <w:t>2、提高内控意识。无论是业务人员还是财务人员，在实际工作的过程中都要养成一定内控意识，科学合理的在各个领域中分配本单位的经费，在不需要使用经费的地方不应当使用经费，尽可能在消耗最少经费的情况下完成更多的工作。单位内外资金流通都属于内部控制的范围内，各种资金流动问题都应当处于本单位的监督管理之下，才能够将经费利用率低下这一问题的发生几率控制在一定范围内，促使单位实际运行的过程中更好的履行审计职能。</w:t>
      </w:r>
    </w:p>
    <w:p>
      <w:pPr>
        <w:widowControl w:val="0"/>
        <w:wordWrap/>
        <w:adjustRightInd w:val="0"/>
        <w:snapToGrid w:val="0"/>
        <w:spacing w:line="360" w:lineRule="auto"/>
        <w:ind w:left="0" w:leftChars="0" w:right="0" w:firstLine="640" w:firstLineChars="200"/>
        <w:textAlignment w:val="auto"/>
        <w:outlineLvl w:val="9"/>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5"/>
        <w:tblpPr w:leftFromText="180" w:rightFromText="180" w:vertAnchor="text" w:tblpXSpec="center" w:tblpY="195"/>
        <w:tblOverlap w:val="never"/>
        <w:tblW w:w="664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5"/>
        <w:gridCol w:w="1292"/>
        <w:gridCol w:w="2592"/>
        <w:gridCol w:w="17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6" w:hRule="atLeast"/>
          <w:jc w:val="center"/>
        </w:trPr>
        <w:tc>
          <w:tcPr>
            <w:tcW w:w="1015" w:type="dxa"/>
            <w:vAlign w:val="center"/>
          </w:tcPr>
          <w:p>
            <w:pPr>
              <w:jc w:val="center"/>
              <w:rPr>
                <w:rFonts w:hint="eastAsia" w:eastAsia="宋体"/>
                <w:vertAlign w:val="baseline"/>
                <w:lang w:eastAsia="zh-CN"/>
              </w:rPr>
            </w:pPr>
            <w:r>
              <w:rPr>
                <w:rFonts w:hint="eastAsia"/>
                <w:vertAlign w:val="baseline"/>
                <w:lang w:eastAsia="zh-CN"/>
              </w:rPr>
              <w:t>序号</w:t>
            </w:r>
          </w:p>
        </w:tc>
        <w:tc>
          <w:tcPr>
            <w:tcW w:w="1292" w:type="dxa"/>
            <w:vAlign w:val="center"/>
          </w:tcPr>
          <w:p>
            <w:pPr>
              <w:rPr>
                <w:rFonts w:hint="eastAsia" w:eastAsia="宋体"/>
                <w:vertAlign w:val="baseline"/>
                <w:lang w:eastAsia="zh-CN"/>
              </w:rPr>
            </w:pPr>
            <w:r>
              <w:rPr>
                <w:rFonts w:hint="eastAsia"/>
                <w:vertAlign w:val="baseline"/>
                <w:lang w:val="en-US" w:eastAsia="zh-CN"/>
              </w:rPr>
              <w:t xml:space="preserve">   </w:t>
            </w:r>
            <w:r>
              <w:rPr>
                <w:rFonts w:hint="eastAsia"/>
                <w:vertAlign w:val="baseline"/>
                <w:lang w:eastAsia="zh-CN"/>
              </w:rPr>
              <w:t>姓名</w:t>
            </w:r>
          </w:p>
        </w:tc>
        <w:tc>
          <w:tcPr>
            <w:tcW w:w="2592" w:type="dxa"/>
            <w:vAlign w:val="center"/>
          </w:tcPr>
          <w:p>
            <w:pPr>
              <w:jc w:val="center"/>
              <w:rPr>
                <w:rFonts w:hint="eastAsia" w:eastAsia="宋体"/>
                <w:vertAlign w:val="baseline"/>
                <w:lang w:eastAsia="zh-CN"/>
              </w:rPr>
            </w:pPr>
            <w:r>
              <w:rPr>
                <w:rFonts w:hint="eastAsia"/>
                <w:vertAlign w:val="baseline"/>
                <w:lang w:eastAsia="zh-CN"/>
              </w:rPr>
              <w:t>工作单位</w:t>
            </w:r>
          </w:p>
        </w:tc>
        <w:tc>
          <w:tcPr>
            <w:tcW w:w="1743" w:type="dxa"/>
            <w:vAlign w:val="center"/>
          </w:tcPr>
          <w:p>
            <w:pPr>
              <w:jc w:val="center"/>
              <w:rPr>
                <w:rFonts w:hint="eastAsia" w:eastAsia="宋体"/>
                <w:vertAlign w:val="baseline"/>
                <w:lang w:eastAsia="zh-CN"/>
              </w:rPr>
            </w:pPr>
            <w:r>
              <w:rPr>
                <w:rFonts w:hint="eastAsia"/>
                <w:vertAlign w:val="baseline"/>
                <w:lang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6" w:hRule="atLeast"/>
          <w:jc w:val="center"/>
        </w:trPr>
        <w:tc>
          <w:tcPr>
            <w:tcW w:w="1015" w:type="dxa"/>
            <w:vAlign w:val="center"/>
          </w:tcPr>
          <w:p>
            <w:pPr>
              <w:jc w:val="center"/>
              <w:rPr>
                <w:rFonts w:hint="eastAsia"/>
                <w:vertAlign w:val="baseline"/>
                <w:lang w:val="en-US" w:eastAsia="zh-CN"/>
              </w:rPr>
            </w:pPr>
            <w:r>
              <w:rPr>
                <w:rFonts w:hint="eastAsia"/>
                <w:vertAlign w:val="baseline"/>
                <w:lang w:val="en-US" w:eastAsia="zh-CN"/>
              </w:rPr>
              <w:t>1</w:t>
            </w:r>
          </w:p>
        </w:tc>
        <w:tc>
          <w:tcPr>
            <w:tcW w:w="1292" w:type="dxa"/>
            <w:vAlign w:val="center"/>
          </w:tcPr>
          <w:p>
            <w:pPr>
              <w:jc w:val="center"/>
              <w:rPr>
                <w:rFonts w:hint="eastAsia"/>
                <w:vertAlign w:val="baseline"/>
                <w:lang w:val="en-US" w:eastAsia="zh-CN"/>
              </w:rPr>
            </w:pPr>
            <w:r>
              <w:rPr>
                <w:rFonts w:hint="eastAsia"/>
                <w:vertAlign w:val="baseline"/>
                <w:lang w:val="en-US" w:eastAsia="zh-CN"/>
              </w:rPr>
              <w:t>李强平</w:t>
            </w:r>
          </w:p>
        </w:tc>
        <w:tc>
          <w:tcPr>
            <w:tcW w:w="2592" w:type="dxa"/>
            <w:vAlign w:val="center"/>
          </w:tcPr>
          <w:p>
            <w:pPr>
              <w:jc w:val="center"/>
              <w:rPr>
                <w:rFonts w:hint="eastAsia"/>
                <w:vertAlign w:val="baseline"/>
                <w:lang w:val="en-US" w:eastAsia="zh-CN"/>
              </w:rPr>
            </w:pPr>
            <w:r>
              <w:rPr>
                <w:rFonts w:hint="eastAsia"/>
                <w:vertAlign w:val="baseline"/>
                <w:lang w:val="en-US" w:eastAsia="zh-CN"/>
              </w:rPr>
              <w:t>市审计局</w:t>
            </w:r>
          </w:p>
        </w:tc>
        <w:tc>
          <w:tcPr>
            <w:tcW w:w="1743" w:type="dxa"/>
            <w:vAlign w:val="center"/>
          </w:tcPr>
          <w:p>
            <w:pPr>
              <w:jc w:val="center"/>
              <w:rPr>
                <w:rFonts w:hint="eastAsia"/>
                <w:vertAlign w:val="baseline"/>
                <w:lang w:val="en-US" w:eastAsia="zh-CN"/>
              </w:rPr>
            </w:pPr>
            <w:r>
              <w:rPr>
                <w:rFonts w:hint="eastAsia"/>
                <w:vertAlign w:val="baseline"/>
                <w:lang w:eastAsia="zh-CN"/>
              </w:rPr>
              <w:t>副局长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6" w:hRule="atLeast"/>
          <w:jc w:val="center"/>
        </w:trPr>
        <w:tc>
          <w:tcPr>
            <w:tcW w:w="1015" w:type="dxa"/>
            <w:vAlign w:val="center"/>
          </w:tcPr>
          <w:p>
            <w:pPr>
              <w:jc w:val="center"/>
              <w:rPr>
                <w:rFonts w:hint="eastAsia"/>
                <w:vertAlign w:val="baseline"/>
                <w:lang w:val="en-US" w:eastAsia="zh-CN"/>
              </w:rPr>
            </w:pPr>
            <w:r>
              <w:rPr>
                <w:rFonts w:hint="eastAsia"/>
                <w:vertAlign w:val="baseline"/>
                <w:lang w:val="en-US" w:eastAsia="zh-CN"/>
              </w:rPr>
              <w:t>2</w:t>
            </w:r>
          </w:p>
        </w:tc>
        <w:tc>
          <w:tcPr>
            <w:tcW w:w="1292" w:type="dxa"/>
            <w:vAlign w:val="center"/>
          </w:tcPr>
          <w:p>
            <w:pPr>
              <w:jc w:val="center"/>
              <w:rPr>
                <w:rFonts w:hint="eastAsia"/>
                <w:vertAlign w:val="baseline"/>
                <w:lang w:val="en-US" w:eastAsia="zh-CN"/>
              </w:rPr>
            </w:pPr>
            <w:r>
              <w:rPr>
                <w:rFonts w:hint="eastAsia"/>
                <w:vertAlign w:val="baseline"/>
                <w:lang w:val="en-US" w:eastAsia="zh-CN"/>
              </w:rPr>
              <w:t>梁春景</w:t>
            </w:r>
          </w:p>
        </w:tc>
        <w:tc>
          <w:tcPr>
            <w:tcW w:w="2592" w:type="dxa"/>
            <w:vAlign w:val="center"/>
          </w:tcPr>
          <w:p>
            <w:pPr>
              <w:jc w:val="center"/>
              <w:rPr>
                <w:rFonts w:hint="eastAsia"/>
                <w:vertAlign w:val="baseline"/>
                <w:lang w:val="en-US" w:eastAsia="zh-CN"/>
              </w:rPr>
            </w:pPr>
            <w:r>
              <w:rPr>
                <w:rFonts w:hint="eastAsia"/>
                <w:vertAlign w:val="baseline"/>
                <w:lang w:val="en-US" w:eastAsia="zh-CN"/>
              </w:rPr>
              <w:t>市审计局</w:t>
            </w:r>
          </w:p>
        </w:tc>
        <w:tc>
          <w:tcPr>
            <w:tcW w:w="1743" w:type="dxa"/>
            <w:vAlign w:val="center"/>
          </w:tcPr>
          <w:p>
            <w:pPr>
              <w:jc w:val="center"/>
              <w:rPr>
                <w:rFonts w:hint="eastAsia"/>
                <w:vertAlign w:val="baseline"/>
                <w:lang w:val="en-US" w:eastAsia="zh-CN"/>
              </w:rPr>
            </w:pPr>
            <w:r>
              <w:rPr>
                <w:rFonts w:hint="eastAsia"/>
                <w:vertAlign w:val="baseline"/>
                <w:lang w:val="en-US" w:eastAsia="zh-CN"/>
              </w:rPr>
              <w:t>办公室</w:t>
            </w:r>
            <w:r>
              <w:rPr>
                <w:rFonts w:hint="eastAsia"/>
                <w:vertAlign w:val="baseline"/>
                <w:lang w:eastAsia="zh-CN"/>
              </w:rPr>
              <w:t>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6" w:hRule="atLeast"/>
          <w:jc w:val="center"/>
        </w:trPr>
        <w:tc>
          <w:tcPr>
            <w:tcW w:w="1015" w:type="dxa"/>
            <w:vAlign w:val="center"/>
          </w:tcPr>
          <w:p>
            <w:pPr>
              <w:jc w:val="center"/>
              <w:rPr>
                <w:rFonts w:hint="eastAsia"/>
                <w:vertAlign w:val="baseline"/>
                <w:lang w:val="en-US" w:eastAsia="zh-CN"/>
              </w:rPr>
            </w:pPr>
            <w:r>
              <w:rPr>
                <w:rFonts w:hint="eastAsia"/>
                <w:vertAlign w:val="baseline"/>
                <w:lang w:val="en-US" w:eastAsia="zh-CN"/>
              </w:rPr>
              <w:t>3</w:t>
            </w:r>
          </w:p>
        </w:tc>
        <w:tc>
          <w:tcPr>
            <w:tcW w:w="1292" w:type="dxa"/>
            <w:vAlign w:val="center"/>
          </w:tcPr>
          <w:p>
            <w:pPr>
              <w:jc w:val="center"/>
              <w:rPr>
                <w:rFonts w:hint="eastAsia"/>
                <w:vertAlign w:val="baseline"/>
                <w:lang w:val="en-US" w:eastAsia="zh-CN"/>
              </w:rPr>
            </w:pPr>
            <w:r>
              <w:rPr>
                <w:rFonts w:hint="eastAsia"/>
                <w:vertAlign w:val="baseline"/>
                <w:lang w:val="en-US" w:eastAsia="zh-CN"/>
              </w:rPr>
              <w:t>茹新杰</w:t>
            </w:r>
          </w:p>
        </w:tc>
        <w:tc>
          <w:tcPr>
            <w:tcW w:w="2592" w:type="dxa"/>
            <w:vAlign w:val="center"/>
          </w:tcPr>
          <w:p>
            <w:pPr>
              <w:jc w:val="center"/>
              <w:rPr>
                <w:rFonts w:hint="eastAsia"/>
                <w:vertAlign w:val="baseline"/>
                <w:lang w:val="en-US" w:eastAsia="zh-CN"/>
              </w:rPr>
            </w:pPr>
            <w:r>
              <w:rPr>
                <w:rFonts w:hint="eastAsia"/>
                <w:vertAlign w:val="baseline"/>
                <w:lang w:val="en-US" w:eastAsia="zh-CN"/>
              </w:rPr>
              <w:t>市审计局</w:t>
            </w:r>
          </w:p>
        </w:tc>
        <w:tc>
          <w:tcPr>
            <w:tcW w:w="1743" w:type="dxa"/>
            <w:vAlign w:val="center"/>
          </w:tcPr>
          <w:p>
            <w:pPr>
              <w:jc w:val="center"/>
              <w:rPr>
                <w:rFonts w:hint="eastAsia"/>
                <w:vertAlign w:val="baseline"/>
                <w:lang w:val="en-US" w:eastAsia="zh-CN"/>
              </w:rPr>
            </w:pPr>
            <w:r>
              <w:rPr>
                <w:rFonts w:hint="eastAsia"/>
                <w:vertAlign w:val="baseline"/>
                <w:lang w:val="en-US" w:eastAsia="zh-CN"/>
              </w:rPr>
              <w:t>投资审计处处长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6" w:hRule="atLeast"/>
          <w:jc w:val="center"/>
        </w:trPr>
        <w:tc>
          <w:tcPr>
            <w:tcW w:w="1015" w:type="dxa"/>
            <w:vAlign w:val="center"/>
          </w:tcPr>
          <w:p>
            <w:pPr>
              <w:jc w:val="center"/>
              <w:rPr>
                <w:rFonts w:hint="eastAsia"/>
                <w:vertAlign w:val="baseline"/>
                <w:lang w:val="en-US" w:eastAsia="zh-CN"/>
              </w:rPr>
            </w:pPr>
            <w:r>
              <w:rPr>
                <w:rFonts w:hint="eastAsia"/>
                <w:vertAlign w:val="baseline"/>
                <w:lang w:val="en-US" w:eastAsia="zh-CN"/>
              </w:rPr>
              <w:t>4</w:t>
            </w:r>
          </w:p>
        </w:tc>
        <w:tc>
          <w:tcPr>
            <w:tcW w:w="1292" w:type="dxa"/>
            <w:vAlign w:val="center"/>
          </w:tcPr>
          <w:p>
            <w:pPr>
              <w:jc w:val="center"/>
              <w:rPr>
                <w:rFonts w:hint="eastAsia"/>
                <w:vertAlign w:val="baseline"/>
                <w:lang w:val="en-US" w:eastAsia="zh-CN"/>
              </w:rPr>
            </w:pPr>
            <w:r>
              <w:rPr>
                <w:rFonts w:hint="eastAsia"/>
                <w:vertAlign w:val="baseline"/>
                <w:lang w:val="en-US" w:eastAsia="zh-CN"/>
              </w:rPr>
              <w:t>孟立新</w:t>
            </w:r>
          </w:p>
        </w:tc>
        <w:tc>
          <w:tcPr>
            <w:tcW w:w="2592" w:type="dxa"/>
            <w:vAlign w:val="center"/>
          </w:tcPr>
          <w:p>
            <w:pPr>
              <w:jc w:val="center"/>
              <w:rPr>
                <w:rFonts w:hint="eastAsia"/>
                <w:vertAlign w:val="baseline"/>
                <w:lang w:val="en-US" w:eastAsia="zh-CN"/>
              </w:rPr>
            </w:pPr>
            <w:r>
              <w:rPr>
                <w:rFonts w:hint="eastAsia"/>
                <w:vertAlign w:val="baseline"/>
                <w:lang w:val="en-US" w:eastAsia="zh-CN"/>
              </w:rPr>
              <w:t>市审计局</w:t>
            </w:r>
          </w:p>
        </w:tc>
        <w:tc>
          <w:tcPr>
            <w:tcW w:w="1743" w:type="dxa"/>
            <w:vAlign w:val="center"/>
          </w:tcPr>
          <w:p>
            <w:pPr>
              <w:tabs>
                <w:tab w:val="center" w:pos="589"/>
              </w:tabs>
              <w:jc w:val="center"/>
              <w:rPr>
                <w:rFonts w:hint="eastAsia"/>
                <w:vertAlign w:val="baseline"/>
                <w:lang w:val="en-US" w:eastAsia="zh-CN"/>
              </w:rPr>
            </w:pPr>
            <w:r>
              <w:rPr>
                <w:rFonts w:hint="eastAsia"/>
                <w:vertAlign w:val="baseline"/>
                <w:lang w:val="en-US" w:eastAsia="zh-CN"/>
              </w:rPr>
              <w:t>财政审计处处长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6" w:hRule="atLeast"/>
          <w:jc w:val="center"/>
        </w:trPr>
        <w:tc>
          <w:tcPr>
            <w:tcW w:w="1015" w:type="dxa"/>
            <w:vAlign w:val="center"/>
          </w:tcPr>
          <w:p>
            <w:pPr>
              <w:jc w:val="center"/>
              <w:rPr>
                <w:rFonts w:hint="eastAsia"/>
                <w:vertAlign w:val="baseline"/>
                <w:lang w:val="en-US" w:eastAsia="zh-CN"/>
              </w:rPr>
            </w:pPr>
            <w:r>
              <w:rPr>
                <w:rFonts w:hint="eastAsia"/>
                <w:vertAlign w:val="baseline"/>
                <w:lang w:val="en-US" w:eastAsia="zh-CN"/>
              </w:rPr>
              <w:t>5</w:t>
            </w:r>
          </w:p>
        </w:tc>
        <w:tc>
          <w:tcPr>
            <w:tcW w:w="1292" w:type="dxa"/>
            <w:vAlign w:val="center"/>
          </w:tcPr>
          <w:p>
            <w:pPr>
              <w:jc w:val="center"/>
              <w:rPr>
                <w:rFonts w:hint="eastAsia"/>
                <w:vertAlign w:val="baseline"/>
                <w:lang w:val="en-US" w:eastAsia="zh-CN"/>
              </w:rPr>
            </w:pPr>
            <w:r>
              <w:rPr>
                <w:rFonts w:hint="eastAsia"/>
                <w:vertAlign w:val="baseline"/>
                <w:lang w:val="en-US" w:eastAsia="zh-CN"/>
              </w:rPr>
              <w:t>吴广卿</w:t>
            </w:r>
          </w:p>
        </w:tc>
        <w:tc>
          <w:tcPr>
            <w:tcW w:w="2592" w:type="dxa"/>
            <w:vAlign w:val="center"/>
          </w:tcPr>
          <w:p>
            <w:pPr>
              <w:jc w:val="center"/>
              <w:rPr>
                <w:rFonts w:hint="eastAsia"/>
                <w:vertAlign w:val="baseline"/>
                <w:lang w:val="en-US" w:eastAsia="zh-CN"/>
              </w:rPr>
            </w:pPr>
            <w:r>
              <w:rPr>
                <w:rFonts w:hint="eastAsia"/>
                <w:vertAlign w:val="baseline"/>
                <w:lang w:val="en-US" w:eastAsia="zh-CN"/>
              </w:rPr>
              <w:t>市审计局</w:t>
            </w:r>
          </w:p>
        </w:tc>
        <w:tc>
          <w:tcPr>
            <w:tcW w:w="1743" w:type="dxa"/>
            <w:vAlign w:val="center"/>
          </w:tcPr>
          <w:p>
            <w:pPr>
              <w:tabs>
                <w:tab w:val="center" w:pos="589"/>
              </w:tabs>
              <w:jc w:val="center"/>
              <w:rPr>
                <w:rFonts w:hint="eastAsia"/>
                <w:vertAlign w:val="baseline"/>
                <w:lang w:val="en-US" w:eastAsia="zh-CN"/>
              </w:rPr>
            </w:pPr>
            <w:r>
              <w:rPr>
                <w:rFonts w:hint="eastAsia"/>
                <w:vertAlign w:val="baseline"/>
                <w:lang w:val="en-US" w:eastAsia="zh-CN"/>
              </w:rPr>
              <w:t>财务</w:t>
            </w:r>
          </w:p>
        </w:tc>
      </w:tr>
    </w:tbl>
    <w:p>
      <w:pPr>
        <w:widowControl w:val="0"/>
        <w:wordWrap/>
        <w:spacing w:line="360" w:lineRule="auto"/>
        <w:ind w:left="0" w:leftChars="0" w:right="0"/>
        <w:textAlignment w:val="auto"/>
        <w:outlineLvl w:val="9"/>
        <w:rPr>
          <w:rFonts w:hint="eastAsia" w:eastAsia="宋体"/>
          <w:lang w:val="en-US" w:eastAsia="zh-CN"/>
        </w:rPr>
      </w:pP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rPr>
          <w:rFonts w:hint="eastAsia" w:ascii="Calibri" w:hAnsi="Calibri" w:eastAsia="宋体" w:cs="黑体"/>
          <w:kern w:val="2"/>
          <w:sz w:val="21"/>
          <w:szCs w:val="22"/>
          <w:lang w:val="en-US" w:eastAsia="zh-CN" w:bidi="ar-SA"/>
        </w:rPr>
      </w:pPr>
    </w:p>
    <w:p>
      <w:pPr>
        <w:tabs>
          <w:tab w:val="left" w:pos="2123"/>
        </w:tabs>
        <w:jc w:val="left"/>
        <w:rPr>
          <w:rFonts w:hint="eastAsia" w:ascii="仿宋_GB2312" w:eastAsia="仿宋_GB2312"/>
          <w:color w:val="000000"/>
          <w:sz w:val="32"/>
          <w:szCs w:val="32"/>
          <w:lang w:val="en-US" w:eastAsia="zh-CN"/>
        </w:rPr>
      </w:pPr>
      <w:r>
        <w:rPr>
          <w:rFonts w:hint="eastAsia" w:cs="黑体"/>
          <w:kern w:val="2"/>
          <w:sz w:val="21"/>
          <w:szCs w:val="22"/>
          <w:lang w:val="en-US" w:eastAsia="zh-CN" w:bidi="ar-SA"/>
        </w:rPr>
        <w:tab/>
      </w:r>
      <w:r>
        <w:rPr>
          <w:rFonts w:hint="eastAsia" w:cs="黑体"/>
          <w:kern w:val="2"/>
          <w:sz w:val="21"/>
          <w:szCs w:val="22"/>
          <w:lang w:val="en-US" w:eastAsia="zh-CN" w:bidi="ar-SA"/>
        </w:rPr>
        <w:t xml:space="preserve">                                    </w:t>
      </w:r>
      <w:r>
        <w:rPr>
          <w:rFonts w:hint="eastAsia" w:ascii="仿宋_GB2312" w:eastAsia="仿宋_GB2312"/>
          <w:color w:val="000000"/>
          <w:sz w:val="32"/>
          <w:szCs w:val="32"/>
          <w:lang w:val="en-US" w:eastAsia="zh-CN"/>
        </w:rPr>
        <w:t>石家庄市审计局</w:t>
      </w:r>
    </w:p>
    <w:p>
      <w:pPr>
        <w:tabs>
          <w:tab w:val="left" w:pos="2123"/>
        </w:tabs>
        <w:jc w:val="left"/>
        <w:rPr>
          <w:rFonts w:hint="eastAsia" w:ascii="仿宋_GB2312" w:eastAsia="仿宋_GB2312"/>
          <w:color w:val="000000"/>
          <w:sz w:val="32"/>
          <w:szCs w:val="32"/>
          <w:lang w:val="en-US" w:eastAsia="zh-CN"/>
        </w:rPr>
      </w:pPr>
      <w:r>
        <w:rPr>
          <w:rFonts w:hint="eastAsia" w:ascii="仿宋_GB2312" w:eastAsia="仿宋_GB2312"/>
          <w:color w:val="000000"/>
          <w:sz w:val="32"/>
          <w:szCs w:val="32"/>
          <w:lang w:val="en-US" w:eastAsia="zh-CN"/>
        </w:rPr>
        <w:t xml:space="preserve">                                     2020年6月1日</w:t>
      </w:r>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font-weight : 400">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6pebnP&#10;AAAABQEAAA8AAAAAAAAAAQAgAAAAIgAAAGRycy9kb3ducmV2LnhtbFBLAQIUABQAAAAIAIdO4kAj&#10;0coStwEAAFcDAAAOAAAAAAAAAAEAIAAAAB4BAABkcnMvZTJvRG9jLnhtbFBLBQYAAAAABgAGAFkB&#10;AABHBQ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68489B"/>
    <w:multiLevelType w:val="singleLevel"/>
    <w:tmpl w:val="5E68489B"/>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2B43A28"/>
    <w:rsid w:val="06BE7EFC"/>
    <w:rsid w:val="07AF2881"/>
    <w:rsid w:val="0EB97A43"/>
    <w:rsid w:val="0EBD2122"/>
    <w:rsid w:val="11B71E6A"/>
    <w:rsid w:val="129C6B66"/>
    <w:rsid w:val="1AAF0063"/>
    <w:rsid w:val="1BE140DE"/>
    <w:rsid w:val="248C197D"/>
    <w:rsid w:val="252959AF"/>
    <w:rsid w:val="277A6671"/>
    <w:rsid w:val="2EF50E6E"/>
    <w:rsid w:val="33EB6CFF"/>
    <w:rsid w:val="3B625C0A"/>
    <w:rsid w:val="3BEB1C56"/>
    <w:rsid w:val="3CEE1963"/>
    <w:rsid w:val="3D4231F6"/>
    <w:rsid w:val="4D3D3DDC"/>
    <w:rsid w:val="512260B4"/>
    <w:rsid w:val="58445C7E"/>
    <w:rsid w:val="66AF0CE5"/>
    <w:rsid w:val="6E3D0FF9"/>
    <w:rsid w:val="6E5B14A6"/>
    <w:rsid w:val="7BB51E06"/>
    <w:rsid w:val="7C387F7C"/>
  </w:rsids>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4">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tcPr>
      <w:textDirection w:val="lrTb"/>
    </w:tc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character" w:customStyle="1" w:styleId="6">
    <w:name w:val="font11"/>
    <w:basedOn w:val="4"/>
    <w:qFormat/>
    <w:uiPriority w:val="0"/>
    <w:rPr>
      <w:rFonts w:ascii="font-weight : 400" w:hAnsi="font-weight : 400" w:eastAsia="font-weight : 400" w:cs="font-weight : 400"/>
      <w:color w:val="000000"/>
      <w:sz w:val="18"/>
      <w:szCs w:val="1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2020-06-05T07:21:24Z</cp:lastPrinted>
  <dcterms:modified xsi:type="dcterms:W3CDTF">2020-06-05T07:24:37Z</dcterms:modified>
  <dc:title>附件3：</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