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hint="eastAsia" w:ascii="仿宋_GB2312" w:eastAsia="仿宋_GB2312"/>
          <w:sz w:val="32"/>
          <w:szCs w:val="32"/>
          <w:lang w:val="en-US" w:eastAsia="zh-CN"/>
        </w:rPr>
      </w:pPr>
      <w:bookmarkStart w:id="0" w:name="_GoBack"/>
      <w:bookmarkEnd w:id="0"/>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9"/>
        <w:rPr>
          <w:rFonts w:hint="eastAsia" w:ascii="宋体" w:hAnsi="宋体" w:eastAsia="宋体" w:cs="宋体"/>
          <w:b/>
          <w:bCs/>
          <w:sz w:val="44"/>
          <w:szCs w:val="44"/>
        </w:rPr>
      </w:pPr>
      <w:r>
        <w:rPr>
          <w:rFonts w:hint="eastAsia" w:ascii="宋体" w:hAnsi="宋体" w:cs="宋体"/>
          <w:b/>
          <w:bCs/>
          <w:sz w:val="44"/>
          <w:szCs w:val="44"/>
          <w:lang w:eastAsia="zh-CN"/>
        </w:rPr>
        <w:t>贷款贴息</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贷款贴息项目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1、</w:t>
      </w:r>
      <w:r>
        <w:rPr>
          <w:rFonts w:hint="eastAsia" w:ascii="仿宋_GB2312" w:eastAsia="仿宋_GB2312"/>
          <w:sz w:val="32"/>
          <w:szCs w:val="32"/>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highlight w:val="none"/>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w:t>
      </w:r>
      <w:r>
        <w:rPr>
          <w:rFonts w:hint="eastAsia" w:ascii="仿宋_GB2312" w:eastAsia="仿宋_GB2312"/>
          <w:color w:val="auto"/>
          <w:sz w:val="32"/>
          <w:szCs w:val="32"/>
          <w:highlight w:val="none"/>
          <w:u w:val="none"/>
          <w:lang w:eastAsia="zh-CN"/>
        </w:rPr>
        <w:t>通5个广播频率，以及新媒体中心、《声屏之友》报、地铁电视等12家子媒体。石家庄广电传媒集团有限公司是石家庄广播电视台出资成立的台属、台控、台管的独资企业集团公司，下辖</w:t>
      </w:r>
      <w:r>
        <w:rPr>
          <w:rFonts w:hint="eastAsia" w:ascii="仿宋_GB2312" w:eastAsia="仿宋_GB2312"/>
          <w:color w:val="auto"/>
          <w:sz w:val="32"/>
          <w:szCs w:val="32"/>
          <w:highlight w:val="none"/>
          <w:u w:val="none"/>
          <w:lang w:val="en-US" w:eastAsia="zh-CN"/>
        </w:rPr>
        <w:t>10</w:t>
      </w:r>
      <w:r>
        <w:rPr>
          <w:rFonts w:hint="eastAsia" w:ascii="仿宋_GB2312" w:eastAsia="仿宋_GB2312"/>
          <w:color w:val="auto"/>
          <w:sz w:val="32"/>
          <w:szCs w:val="32"/>
          <w:highlight w:val="none"/>
          <w:u w:val="none"/>
          <w:lang w:eastAsia="zh-CN"/>
        </w:rPr>
        <w:t>个全资子公司和11个控参股公司，从事节目制作、广告经营、活动营销、产业拓展等业务。全台现有职工1141人，在编正式员工350人，岗位聘用员工791人。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default" w:ascii="仿宋_GB2312" w:eastAsia="仿宋_GB2312"/>
          <w:color w:val="auto"/>
          <w:sz w:val="32"/>
          <w:szCs w:val="32"/>
          <w:u w:val="none"/>
          <w:lang w:val="en-US" w:eastAsia="zh-CN"/>
        </w:rPr>
      </w:pPr>
      <w:r>
        <w:rPr>
          <w:rFonts w:hint="eastAsia" w:ascii="仿宋_GB2312" w:eastAsia="仿宋_GB2312"/>
          <w:sz w:val="32"/>
          <w:szCs w:val="32"/>
          <w:lang w:eastAsia="zh-CN"/>
        </w:rPr>
        <w:t>项目立项基本情况：</w:t>
      </w:r>
      <w:r>
        <w:rPr>
          <w:rFonts w:hint="eastAsia" w:ascii="仿宋_GB2312" w:eastAsia="仿宋_GB2312"/>
          <w:sz w:val="32"/>
          <w:szCs w:val="32"/>
          <w:lang w:val="en-US" w:eastAsia="zh-CN"/>
        </w:rPr>
        <w:t>2018年9月我台向市委宣传部递交《石家庄广播电视台党委关于延续贷款贴息政策的专项请示》，市领导批示：同意石家庄广播电视台意见，将贷款贴息每年500万元的政策，从2019年起在延续3年。</w:t>
      </w:r>
    </w:p>
    <w:p>
      <w:pPr>
        <w:widowControl w:val="0"/>
        <w:numPr>
          <w:ilvl w:val="0"/>
          <w:numId w:val="1"/>
        </w:numPr>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widowControl w:val="0"/>
        <w:numPr>
          <w:ilvl w:val="0"/>
          <w:numId w:val="0"/>
        </w:numPr>
        <w:wordWrap/>
        <w:adjustRightInd w:val="0"/>
        <w:snapToGrid w:val="0"/>
        <w:spacing w:line="360" w:lineRule="auto"/>
        <w:ind w:leftChars="20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该项目用于我台支付银行贷款利息。</w:t>
      </w:r>
    </w:p>
    <w:p>
      <w:pPr>
        <w:widowControl w:val="0"/>
        <w:numPr>
          <w:ilvl w:val="0"/>
          <w:numId w:val="1"/>
        </w:numPr>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项目资金投入情况（资金数量、资金结构、资金来源渠道等）</w:t>
      </w:r>
    </w:p>
    <w:p>
      <w:pPr>
        <w:widowControl w:val="0"/>
        <w:numPr>
          <w:ilvl w:val="0"/>
          <w:numId w:val="0"/>
        </w:numPr>
        <w:wordWrap/>
        <w:adjustRightInd w:val="0"/>
        <w:snapToGrid w:val="0"/>
        <w:spacing w:line="360" w:lineRule="auto"/>
        <w:ind w:leftChars="200" w:right="0" w:rightChars="0"/>
        <w:jc w:val="left"/>
        <w:textAlignment w:val="auto"/>
        <w:outlineLvl w:val="9"/>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2019年财政拨付我台贷款贴息500万元，全部用于支付银行贷款利息。</w:t>
      </w:r>
    </w:p>
    <w:p>
      <w:pPr>
        <w:widowControl w:val="0"/>
        <w:wordWrap/>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default" w:ascii="仿宋_GB2312" w:eastAsia="仿宋_GB2312"/>
          <w:sz w:val="32"/>
          <w:szCs w:val="32"/>
          <w:lang w:val="en-US" w:eastAsia="zh-CN"/>
        </w:rPr>
      </w:pPr>
      <w:r>
        <w:rPr>
          <w:rFonts w:hint="eastAsia" w:ascii="仿宋_GB2312" w:eastAsia="仿宋_GB2312"/>
          <w:sz w:val="32"/>
          <w:szCs w:val="32"/>
          <w:lang w:eastAsia="zh-CN"/>
        </w:rPr>
        <w:t>贷款贴息</w:t>
      </w:r>
      <w:r>
        <w:rPr>
          <w:rFonts w:hint="eastAsia" w:ascii="仿宋_GB2312" w:eastAsia="仿宋_GB2312"/>
          <w:sz w:val="32"/>
          <w:szCs w:val="32"/>
          <w:lang w:val="en-US" w:eastAsia="zh-CN"/>
        </w:rPr>
        <w:t>500万元用于支付银行贷款利息，提高资金的综合效益，保证资金的正常运转，避免人才流失，稳定队伍，提升节目质量，更好的围绕市委市政府重点工作发声。</w:t>
      </w:r>
    </w:p>
    <w:p>
      <w:pPr>
        <w:widowControl w:val="0"/>
        <w:wordWrap/>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highlight w:val="none"/>
          <w:u w:val="none"/>
        </w:rPr>
      </w:pPr>
      <w:r>
        <w:rPr>
          <w:rFonts w:hint="eastAsia" w:ascii="仿宋_GB2312" w:eastAsia="仿宋_GB2312"/>
          <w:sz w:val="32"/>
          <w:szCs w:val="32"/>
          <w:lang w:val="en-US" w:eastAsia="zh-CN"/>
        </w:rPr>
        <w:t xml:space="preserve"> </w:t>
      </w:r>
      <w:r>
        <w:rPr>
          <w:rFonts w:hint="eastAsia" w:ascii="仿宋_GB2312" w:eastAsia="仿宋_GB2312"/>
          <w:sz w:val="32"/>
          <w:szCs w:val="32"/>
          <w:highlight w:val="none"/>
          <w:u w:val="none"/>
        </w:rPr>
        <w:t>我台对项目评价工作非常重视，成立了石家庄广播电视台绩效自评工作组。由</w:t>
      </w:r>
      <w:r>
        <w:rPr>
          <w:rFonts w:hint="eastAsia" w:ascii="仿宋_GB2312" w:eastAsia="仿宋_GB2312"/>
          <w:sz w:val="32"/>
          <w:szCs w:val="32"/>
          <w:highlight w:val="none"/>
          <w:u w:val="none"/>
          <w:lang w:eastAsia="zh-CN"/>
        </w:rPr>
        <w:t>王永利</w:t>
      </w:r>
      <w:r>
        <w:rPr>
          <w:rFonts w:hint="eastAsia" w:ascii="仿宋_GB2312" w:eastAsia="仿宋_GB2312"/>
          <w:sz w:val="32"/>
          <w:szCs w:val="32"/>
          <w:highlight w:val="none"/>
          <w:u w:val="none"/>
        </w:rPr>
        <w:t>副台长同志任组长。成员包括财务部</w:t>
      </w:r>
      <w:r>
        <w:rPr>
          <w:rFonts w:hint="eastAsia" w:ascii="仿宋_GB2312" w:eastAsia="仿宋_GB2312"/>
          <w:sz w:val="32"/>
          <w:szCs w:val="32"/>
          <w:highlight w:val="none"/>
          <w:u w:val="none"/>
          <w:lang w:eastAsia="zh-CN"/>
        </w:rPr>
        <w:t>主任申媛和陶丽宏。</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0"/>
        </w:numPr>
        <w:wordWrap/>
        <w:spacing w:line="360" w:lineRule="auto"/>
        <w:ind w:left="0" w:leftChars="0" w:right="0"/>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（二）自评的方法和过程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right="0" w:firstLine="643" w:firstLineChars="200"/>
        <w:jc w:val="both"/>
        <w:textAlignment w:val="auto"/>
        <w:outlineLvl w:val="9"/>
        <w:rPr>
          <w:rFonts w:hint="eastAsia" w:ascii="仿宋_GB2312" w:eastAsia="仿宋_GB2312"/>
          <w:b/>
          <w:bCs/>
          <w:color w:val="auto"/>
          <w:sz w:val="32"/>
          <w:szCs w:val="32"/>
          <w:lang w:val="en-US" w:eastAsia="zh-CN"/>
        </w:rPr>
      </w:pPr>
      <w:r>
        <w:rPr>
          <w:rFonts w:hint="eastAsia" w:ascii="楷体_GB2312" w:hAnsi="楷体_GB2312" w:eastAsia="楷体_GB2312" w:cs="楷体_GB2312"/>
          <w:b/>
          <w:bCs/>
          <w:color w:val="auto"/>
          <w:sz w:val="32"/>
          <w:szCs w:val="32"/>
          <w:lang w:val="en-US" w:eastAsia="zh-CN"/>
        </w:rPr>
        <w:t>（三）建立绩效评价指标体系</w:t>
      </w:r>
    </w:p>
    <w:p>
      <w:pPr>
        <w:widowControl w:val="0"/>
        <w:wordWrap/>
        <w:spacing w:line="360" w:lineRule="auto"/>
        <w:ind w:left="0" w:leftChars="0" w:right="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制定了项目绩效自评打分</w:t>
      </w:r>
      <w:r>
        <w:rPr>
          <w:rFonts w:hint="eastAsia" w:ascii="仿宋_GB2312" w:hAnsi="仿宋_GB2312" w:eastAsia="仿宋_GB2312" w:cs="仿宋_GB2312"/>
          <w:sz w:val="32"/>
          <w:szCs w:val="32"/>
          <w:lang w:eastAsia="zh-CN"/>
        </w:rPr>
        <w:t>标</w:t>
      </w:r>
      <w:r>
        <w:rPr>
          <w:rFonts w:hint="eastAsia" w:ascii="仿宋_GB2312" w:hAnsi="仿宋_GB2312" w:eastAsia="仿宋_GB2312" w:cs="仿宋_GB2312"/>
          <w:sz w:val="32"/>
          <w:szCs w:val="32"/>
        </w:rPr>
        <w:t>准</w:t>
      </w:r>
      <w:r>
        <w:rPr>
          <w:rFonts w:hint="eastAsia" w:ascii="仿宋_GB2312" w:hAnsi="仿宋_GB2312" w:eastAsia="仿宋_GB2312" w:cs="仿宋_GB2312"/>
          <w:sz w:val="32"/>
          <w:szCs w:val="32"/>
          <w:lang w:eastAsia="zh-CN"/>
        </w:rPr>
        <w:t>并完成了</w:t>
      </w:r>
      <w:r>
        <w:rPr>
          <w:rFonts w:hint="eastAsia" w:ascii="仿宋_GB2312" w:hAnsi="仿宋_GB2312" w:eastAsia="仿宋_GB2312" w:cs="仿宋_GB2312"/>
          <w:sz w:val="32"/>
          <w:szCs w:val="32"/>
        </w:rPr>
        <w:t>项目绩效自评打分表</w:t>
      </w:r>
      <w:r>
        <w:rPr>
          <w:rFonts w:hint="eastAsia" w:ascii="仿宋_GB2312" w:hAnsi="仿宋_GB2312" w:eastAsia="仿宋_GB2312" w:cs="仿宋_GB2312"/>
          <w:sz w:val="32"/>
          <w:szCs w:val="32"/>
          <w:lang w:eastAsia="zh-CN"/>
        </w:rPr>
        <w:t>。</w:t>
      </w:r>
    </w:p>
    <w:tbl>
      <w:tblPr>
        <w:tblStyle w:val="4"/>
        <w:tblW w:w="833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24"/>
        <w:gridCol w:w="788"/>
        <w:gridCol w:w="837"/>
        <w:gridCol w:w="2063"/>
        <w:gridCol w:w="987"/>
        <w:gridCol w:w="1288"/>
        <w:gridCol w:w="14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2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3"/>
                <w:lang w:val="en-US" w:eastAsia="zh-CN" w:bidi="ar"/>
              </w:rPr>
              <w:t>四、</w:t>
            </w:r>
            <w:r>
              <w:rPr>
                <w:rStyle w:val="14"/>
                <w:rFonts w:eastAsia="宋体"/>
                <w:lang w:val="en-US" w:eastAsia="zh-CN" w:bidi="ar"/>
              </w:rPr>
              <w:t xml:space="preserve"> </w:t>
            </w:r>
            <w:r>
              <w:rPr>
                <w:rStyle w:val="13"/>
                <w:lang w:val="en-US" w:eastAsia="zh-CN" w:bidi="ar"/>
              </w:rPr>
              <w:t>年度绩效指标完成情况</w:t>
            </w:r>
          </w:p>
        </w:tc>
        <w:tc>
          <w:tcPr>
            <w:tcW w:w="7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40"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 （20分）</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r>
              <w:rPr>
                <w:rFonts w:hint="eastAsia" w:ascii="宋体" w:hAnsi="宋体" w:eastAsia="宋体" w:cs="宋体"/>
                <w:i w:val="0"/>
                <w:color w:val="000000"/>
                <w:kern w:val="0"/>
                <w:sz w:val="16"/>
                <w:szCs w:val="16"/>
                <w:u w:val="none"/>
                <w:lang w:val="en-US" w:eastAsia="zh-CN" w:bidi="ar"/>
              </w:rPr>
              <w:t>提高资金使用率</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  （20分）</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１争取资金及时到位，保证正常运转</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全部完成预算</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经济效益指标（20分0</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１保证创收</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可持续影响指标(20分）</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１缓解资金压力</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１满意度</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指标</w:t>
            </w:r>
            <w:r>
              <w:rPr>
                <w:rStyle w:val="14"/>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２</w:t>
            </w:r>
          </w:p>
        </w:tc>
        <w:tc>
          <w:tcPr>
            <w:tcW w:w="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6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98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28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4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92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96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bl>
    <w:p>
      <w:pPr>
        <w:widowControl w:val="0"/>
        <w:wordWrap/>
        <w:spacing w:line="360" w:lineRule="auto"/>
        <w:ind w:right="0"/>
        <w:jc w:val="both"/>
        <w:textAlignment w:val="auto"/>
        <w:outlineLvl w:val="9"/>
        <w:rPr>
          <w:rFonts w:hint="eastAsia" w:ascii="仿宋_GB2312" w:hAnsi="仿宋_GB2312" w:eastAsia="仿宋_GB2312" w:cs="仿宋_GB2312"/>
          <w:sz w:val="32"/>
          <w:szCs w:val="32"/>
          <w:lang w:eastAsia="zh-CN"/>
        </w:rPr>
      </w:pPr>
    </w:p>
    <w:p>
      <w:pPr>
        <w:widowControl w:val="0"/>
        <w:wordWrap/>
        <w:spacing w:line="360" w:lineRule="auto"/>
        <w:ind w:right="0"/>
        <w:jc w:val="both"/>
        <w:textAlignment w:val="auto"/>
        <w:outlineLvl w:val="9"/>
        <w:rPr>
          <w:rFonts w:hint="eastAsia" w:ascii="仿宋_GB2312" w:hAnsi="仿宋_GB2312" w:eastAsia="仿宋_GB2312" w:cs="仿宋_GB2312"/>
          <w:sz w:val="32"/>
          <w:szCs w:val="32"/>
          <w:lang w:eastAsia="zh-CN"/>
        </w:rPr>
      </w:pPr>
    </w:p>
    <w:p>
      <w:pPr>
        <w:widowControl w:val="0"/>
        <w:wordWrap/>
        <w:spacing w:line="360" w:lineRule="auto"/>
        <w:ind w:left="0" w:leftChars="0" w:right="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2"/>
        </w:numPr>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执行年初预算安排情况，年初财政安排贷款贴息预算500万元，我台全部用于支付银行贷款利息，实际完成100%，自评得分10分。</w:t>
      </w:r>
    </w:p>
    <w:p>
      <w:pPr>
        <w:widowControl w:val="0"/>
        <w:numPr>
          <w:ilvl w:val="0"/>
          <w:numId w:val="0"/>
        </w:numPr>
        <w:wordWrap/>
        <w:spacing w:line="360" w:lineRule="auto"/>
        <w:ind w:left="0" w:leftChars="0" w:right="0"/>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数量指标：提高了资金使用率，保障资金正常运转，缓解债务压力，完成率为100%，本项得分为20分。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时效指标：资金及时到位，及时偿还贷款利息，完成率为100%，本项得分为20分。</w:t>
      </w:r>
    </w:p>
    <w:p>
      <w:pPr>
        <w:widowControl w:val="0"/>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经济效益：</w:t>
      </w:r>
      <w:r>
        <w:rPr>
          <w:rFonts w:hint="eastAsia" w:ascii="仿宋_GB2312" w:eastAsia="仿宋_GB2312"/>
          <w:sz w:val="32"/>
          <w:szCs w:val="32"/>
          <w:lang w:val="en-US" w:eastAsia="zh-CN"/>
        </w:rPr>
        <w:t>提高资金的综合效益，保证资金的正常运转。</w:t>
      </w:r>
      <w:r>
        <w:rPr>
          <w:rFonts w:hint="eastAsia" w:ascii="仿宋_GB2312" w:eastAsia="仿宋_GB2312"/>
          <w:b w:val="0"/>
          <w:bCs w:val="0"/>
          <w:sz w:val="32"/>
          <w:szCs w:val="32"/>
          <w:lang w:val="en-US" w:eastAsia="zh-CN"/>
        </w:rPr>
        <w:t>本项得分为20分。</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可持续影响：三年的贷款贴息缓解了我台资金压力，保证了创收活动的正常开展，</w:t>
      </w:r>
      <w:r>
        <w:rPr>
          <w:rFonts w:hint="eastAsia" w:ascii="仿宋_GB2312" w:eastAsia="仿宋_GB2312"/>
          <w:sz w:val="32"/>
          <w:szCs w:val="32"/>
          <w:lang w:val="en-US" w:eastAsia="zh-CN"/>
        </w:rPr>
        <w:t>避免人才流失，稳定队伍，提升节目质量，更好的围绕市委市政府重点工作发声。</w:t>
      </w:r>
      <w:r>
        <w:rPr>
          <w:rFonts w:hint="eastAsia" w:ascii="仿宋_GB2312" w:eastAsia="仿宋_GB2312"/>
          <w:b w:val="0"/>
          <w:bCs w:val="0"/>
          <w:sz w:val="32"/>
          <w:szCs w:val="32"/>
          <w:lang w:val="en-US" w:eastAsia="zh-CN"/>
        </w:rPr>
        <w:t>本项得分为20分。</w:t>
      </w:r>
    </w:p>
    <w:p>
      <w:pPr>
        <w:widowControl w:val="0"/>
        <w:wordWrap/>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由于财政拨付贷款贴息，缓解了银行给我台批复贷款的顾虑，保证了我台资金正常周转。本项得分为10分。</w:t>
      </w:r>
    </w:p>
    <w:p>
      <w:pPr>
        <w:widowControl w:val="0"/>
        <w:numPr>
          <w:ilvl w:val="0"/>
          <w:numId w:val="0"/>
        </w:numPr>
        <w:wordWrap/>
        <w:spacing w:line="360" w:lineRule="auto"/>
        <w:ind w:left="0" w:leftChars="0" w:right="0" w:firstLine="640" w:firstLineChars="200"/>
        <w:textAlignment w:val="auto"/>
        <w:outlineLvl w:val="9"/>
        <w:rPr>
          <w:rFonts w:hint="eastAsia" w:ascii="黑体" w:hAnsi="黑体" w:eastAsia="黑体"/>
          <w:b w:val="0"/>
          <w:bCs w:val="0"/>
          <w:color w:val="auto"/>
          <w:sz w:val="32"/>
          <w:szCs w:val="32"/>
          <w:lang w:val="en-US" w:eastAsia="zh-CN"/>
        </w:rPr>
      </w:pPr>
      <w:r>
        <w:rPr>
          <w:rFonts w:hint="eastAsia" w:ascii="黑体" w:hAnsi="黑体" w:eastAsia="黑体"/>
          <w:b w:val="0"/>
          <w:bCs w:val="0"/>
          <w:color w:val="auto"/>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r>
        <w:rPr>
          <w:rFonts w:hint="eastAsia" w:ascii="仿宋_GB2312" w:eastAsia="仿宋_GB2312"/>
          <w:b w:val="0"/>
          <w:bCs w:val="0"/>
          <w:sz w:val="32"/>
          <w:szCs w:val="32"/>
          <w:lang w:val="en-US" w:eastAsia="zh-CN"/>
        </w:rPr>
        <w:t>该项目总得分100分，综合绩效评价等级为优秀。</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highlight w:val="none"/>
          <w:lang w:val="en-US" w:eastAsia="zh-CN"/>
        </w:rPr>
      </w:pPr>
      <w:r>
        <w:rPr>
          <w:rFonts w:hint="eastAsia" w:ascii="黑体" w:hAnsi="黑体" w:eastAsia="黑体"/>
          <w:b w:val="0"/>
          <w:bCs w:val="0"/>
          <w:sz w:val="32"/>
          <w:szCs w:val="32"/>
          <w:highlight w:val="none"/>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9"/>
        <w:rPr>
          <w:rFonts w:hint="eastAsia" w:ascii="楷体_GB2312" w:hAnsi="楷体_GB2312" w:eastAsia="楷体_GB2312"/>
          <w:b/>
          <w:bCs/>
          <w:sz w:val="32"/>
          <w:szCs w:val="32"/>
          <w:highlight w:val="none"/>
          <w:lang w:val="en-US" w:eastAsia="zh-CN"/>
        </w:rPr>
      </w:pPr>
      <w:r>
        <w:rPr>
          <w:rFonts w:hint="eastAsia" w:ascii="楷体_GB2312" w:hAnsi="楷体_GB2312" w:eastAsia="楷体_GB2312"/>
          <w:b/>
          <w:bCs/>
          <w:sz w:val="32"/>
          <w:szCs w:val="32"/>
          <w:highlight w:val="none"/>
          <w:lang w:val="en-US" w:eastAsia="zh-CN"/>
        </w:rPr>
        <w:t>（一）项目存在的主要问题</w:t>
      </w:r>
    </w:p>
    <w:p>
      <w:pPr>
        <w:widowControl w:val="0"/>
        <w:numPr>
          <w:ilvl w:val="0"/>
          <w:numId w:val="0"/>
        </w:numPr>
        <w:wordWrap/>
        <w:spacing w:line="360" w:lineRule="auto"/>
        <w:ind w:left="0" w:leftChars="0" w:right="0" w:firstLine="643" w:firstLineChars="200"/>
        <w:textAlignment w:val="auto"/>
        <w:outlineLvl w:val="9"/>
        <w:rPr>
          <w:rFonts w:hint="eastAsia" w:ascii="楷体_GB2312" w:hAnsi="楷体_GB2312" w:eastAsia="楷体_GB2312"/>
          <w:b/>
          <w:bCs/>
          <w:sz w:val="32"/>
          <w:szCs w:val="32"/>
          <w:highlight w:val="none"/>
          <w:lang w:val="en-US" w:eastAsia="zh-CN"/>
        </w:rPr>
      </w:pPr>
      <w:r>
        <w:rPr>
          <w:rFonts w:hint="eastAsia" w:ascii="楷体_GB2312" w:hAnsi="楷体_GB2312" w:eastAsia="楷体_GB2312"/>
          <w:b/>
          <w:bCs/>
          <w:sz w:val="32"/>
          <w:szCs w:val="32"/>
          <w:highlight w:val="none"/>
          <w:lang w:val="en-US" w:eastAsia="zh-CN"/>
        </w:rPr>
        <w:t>无</w:t>
      </w:r>
    </w:p>
    <w:p>
      <w:pPr>
        <w:widowControl w:val="0"/>
        <w:numPr>
          <w:ilvl w:val="0"/>
          <w:numId w:val="0"/>
        </w:numPr>
        <w:wordWrap/>
        <w:spacing w:line="360" w:lineRule="auto"/>
        <w:ind w:left="0" w:leftChars="0" w:right="0" w:firstLine="643" w:firstLineChars="200"/>
        <w:textAlignment w:val="auto"/>
        <w:outlineLvl w:val="9"/>
        <w:rPr>
          <w:rFonts w:hint="eastAsia" w:ascii="楷体_GB2312" w:hAnsi="楷体_GB2312" w:eastAsia="楷体_GB2312"/>
          <w:b/>
          <w:bCs/>
          <w:sz w:val="32"/>
          <w:szCs w:val="32"/>
          <w:highlight w:val="none"/>
          <w:lang w:val="en-US" w:eastAsia="zh-CN"/>
        </w:rPr>
      </w:pPr>
      <w:r>
        <w:rPr>
          <w:rFonts w:hint="eastAsia" w:ascii="楷体_GB2312" w:hAnsi="楷体_GB2312" w:eastAsia="楷体_GB2312"/>
          <w:b/>
          <w:bCs/>
          <w:sz w:val="32"/>
          <w:szCs w:val="32"/>
          <w:highlight w:val="none"/>
          <w:lang w:val="en-US" w:eastAsia="zh-CN"/>
        </w:rPr>
        <w:t>（二）针对问题提出具体的改进措施或建议</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highlight w:val="none"/>
        </w:rPr>
      </w:pPr>
      <w:r>
        <w:rPr>
          <w:rFonts w:hint="eastAsia" w:ascii="黑体" w:eastAsia="黑体"/>
          <w:b w:val="0"/>
          <w:bCs w:val="0"/>
          <w:color w:val="auto"/>
          <w:sz w:val="32"/>
          <w:szCs w:val="32"/>
          <w:highlight w:val="none"/>
          <w:lang w:eastAsia="zh-CN"/>
        </w:rPr>
        <w:t>六</w:t>
      </w:r>
      <w:r>
        <w:rPr>
          <w:rFonts w:hint="eastAsia" w:ascii="黑体" w:eastAsia="黑体"/>
          <w:b w:val="0"/>
          <w:bCs w:val="0"/>
          <w:color w:val="auto"/>
          <w:sz w:val="32"/>
          <w:szCs w:val="32"/>
          <w:highlight w:val="none"/>
        </w:rPr>
        <w:t>、评价工作组人员名单及签字</w:t>
      </w:r>
      <w:r>
        <w:rPr>
          <w:rFonts w:hint="eastAsia" w:ascii="仿宋_GB2312" w:eastAsia="仿宋_GB2312"/>
          <w:color w:val="auto"/>
          <w:sz w:val="32"/>
          <w:szCs w:val="32"/>
          <w:highlight w:val="none"/>
        </w:rPr>
        <w:t>（姓名、工作单位、职务、职称）</w:t>
      </w:r>
    </w:p>
    <w:tbl>
      <w:tblPr>
        <w:tblStyle w:val="5"/>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adjustRightInd w:val="0"/>
        <w:snapToGrid w:val="0"/>
        <w:spacing w:line="360" w:lineRule="auto"/>
        <w:ind w:right="0"/>
        <w:textAlignment w:val="auto"/>
        <w:outlineLvl w:val="9"/>
        <w:rPr>
          <w:rFonts w:hint="eastAsia" w:ascii="仿宋_GB2312" w:eastAsia="仿宋_GB2312"/>
          <w:color w:val="FF0000"/>
          <w:sz w:val="32"/>
          <w:szCs w:val="32"/>
          <w:highlight w:val="yellow"/>
        </w:rPr>
      </w:pPr>
    </w:p>
    <w:p>
      <w:pPr>
        <w:widowControl w:val="0"/>
        <w:wordWrap/>
        <w:spacing w:line="360" w:lineRule="auto"/>
        <w:ind w:left="0" w:leftChars="0" w:right="0"/>
        <w:textAlignment w:val="auto"/>
        <w:outlineLvl w:val="9"/>
      </w:pP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EF99A"/>
    <w:multiLevelType w:val="singleLevel"/>
    <w:tmpl w:val="038EF99A"/>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2B43A28"/>
    <w:rsid w:val="031D1688"/>
    <w:rsid w:val="0D880A40"/>
    <w:rsid w:val="0EB97A43"/>
    <w:rsid w:val="0EBD2122"/>
    <w:rsid w:val="10FF1078"/>
    <w:rsid w:val="113D7D38"/>
    <w:rsid w:val="11B71E6A"/>
    <w:rsid w:val="127E27DF"/>
    <w:rsid w:val="16403B06"/>
    <w:rsid w:val="16DC5C36"/>
    <w:rsid w:val="1AAF0063"/>
    <w:rsid w:val="1BE140DE"/>
    <w:rsid w:val="1C2621BF"/>
    <w:rsid w:val="1C2950CD"/>
    <w:rsid w:val="1F59667A"/>
    <w:rsid w:val="1F94720F"/>
    <w:rsid w:val="248C197D"/>
    <w:rsid w:val="252959AF"/>
    <w:rsid w:val="27783669"/>
    <w:rsid w:val="277A6671"/>
    <w:rsid w:val="2A781159"/>
    <w:rsid w:val="31EF518F"/>
    <w:rsid w:val="33EB6CFF"/>
    <w:rsid w:val="3B625C0A"/>
    <w:rsid w:val="3CEE1963"/>
    <w:rsid w:val="46B41739"/>
    <w:rsid w:val="4A667124"/>
    <w:rsid w:val="4A76380E"/>
    <w:rsid w:val="4BD35C80"/>
    <w:rsid w:val="4EC63F8E"/>
    <w:rsid w:val="512260B4"/>
    <w:rsid w:val="574254F4"/>
    <w:rsid w:val="5AF91D65"/>
    <w:rsid w:val="5E527A58"/>
    <w:rsid w:val="5F2A7C29"/>
    <w:rsid w:val="63312655"/>
    <w:rsid w:val="65EB67F5"/>
    <w:rsid w:val="66AF0CE5"/>
    <w:rsid w:val="6BD1663F"/>
    <w:rsid w:val="6CB01F5A"/>
    <w:rsid w:val="6E5B14A6"/>
    <w:rsid w:val="6EA71061"/>
    <w:rsid w:val="71D7222C"/>
    <w:rsid w:val="76F72EEE"/>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font21"/>
    <w:basedOn w:val="6"/>
    <w:qFormat/>
    <w:uiPriority w:val="0"/>
    <w:rPr>
      <w:rFonts w:hint="eastAsia" w:ascii="宋体" w:hAnsi="宋体" w:eastAsia="宋体" w:cs="宋体"/>
      <w:color w:val="000000"/>
      <w:sz w:val="16"/>
      <w:szCs w:val="16"/>
      <w:u w:val="none"/>
    </w:rPr>
  </w:style>
  <w:style w:type="character" w:customStyle="1" w:styleId="8">
    <w:name w:val="font01"/>
    <w:basedOn w:val="6"/>
    <w:qFormat/>
    <w:uiPriority w:val="0"/>
    <w:rPr>
      <w:rFonts w:ascii="Calibri" w:hAnsi="Calibri" w:cs="Calibri"/>
      <w:color w:val="000000"/>
      <w:sz w:val="16"/>
      <w:szCs w:val="16"/>
      <w:u w:val="none"/>
    </w:rPr>
  </w:style>
  <w:style w:type="character" w:customStyle="1" w:styleId="9">
    <w:name w:val="font51"/>
    <w:basedOn w:val="6"/>
    <w:qFormat/>
    <w:uiPriority w:val="0"/>
    <w:rPr>
      <w:rFonts w:hint="default" w:ascii="Calibri" w:hAnsi="Calibri" w:cs="Calibri"/>
      <w:color w:val="000000"/>
      <w:sz w:val="16"/>
      <w:szCs w:val="16"/>
      <w:u w:val="none"/>
    </w:rPr>
  </w:style>
  <w:style w:type="character" w:customStyle="1" w:styleId="10">
    <w:name w:val="font71"/>
    <w:basedOn w:val="6"/>
    <w:qFormat/>
    <w:uiPriority w:val="0"/>
    <w:rPr>
      <w:rFonts w:ascii="Arial Unicode MS" w:hAnsi="Arial Unicode MS" w:eastAsia="Arial Unicode MS" w:cs="Arial Unicode MS"/>
      <w:color w:val="000000"/>
      <w:sz w:val="16"/>
      <w:szCs w:val="16"/>
      <w:u w:val="none"/>
    </w:rPr>
  </w:style>
  <w:style w:type="character" w:customStyle="1" w:styleId="11">
    <w:name w:val="font31"/>
    <w:basedOn w:val="6"/>
    <w:qFormat/>
    <w:uiPriority w:val="0"/>
    <w:rPr>
      <w:rFonts w:hint="eastAsia" w:ascii="宋体" w:hAnsi="宋体" w:eastAsia="宋体" w:cs="宋体"/>
      <w:color w:val="000000"/>
      <w:sz w:val="16"/>
      <w:szCs w:val="16"/>
      <w:u w:val="none"/>
    </w:rPr>
  </w:style>
  <w:style w:type="character" w:customStyle="1" w:styleId="12">
    <w:name w:val="font61"/>
    <w:basedOn w:val="6"/>
    <w:qFormat/>
    <w:uiPriority w:val="0"/>
    <w:rPr>
      <w:rFonts w:hint="eastAsia" w:ascii="Arial Unicode MS" w:hAnsi="Arial Unicode MS" w:eastAsia="Arial Unicode MS" w:cs="Arial Unicode MS"/>
      <w:color w:val="000000"/>
      <w:sz w:val="16"/>
      <w:szCs w:val="16"/>
      <w:u w:val="none"/>
    </w:rPr>
  </w:style>
  <w:style w:type="character" w:customStyle="1" w:styleId="13">
    <w:name w:val="font41"/>
    <w:basedOn w:val="6"/>
    <w:qFormat/>
    <w:uiPriority w:val="0"/>
    <w:rPr>
      <w:rFonts w:hint="eastAsia" w:ascii="宋体" w:hAnsi="宋体" w:eastAsia="宋体" w:cs="宋体"/>
      <w:color w:val="000000"/>
      <w:sz w:val="16"/>
      <w:szCs w:val="16"/>
      <w:u w:val="none"/>
    </w:rPr>
  </w:style>
  <w:style w:type="character" w:customStyle="1" w:styleId="14">
    <w:name w:val="font11"/>
    <w:basedOn w:val="6"/>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2020-02-12T05:54:00Z</cp:lastPrinted>
  <dcterms:modified xsi:type="dcterms:W3CDTF">2020-06-05T07:38:57Z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