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ascii="仿宋_GB2312" w:eastAsia="仿宋_GB2312"/>
          <w:sz w:val="32"/>
          <w:szCs w:val="32"/>
        </w:rPr>
      </w:pPr>
      <w:r>
        <w:rPr>
          <w:rFonts w:hint="eastAsia" w:ascii="仿宋_GB2312" w:eastAsia="仿宋_GB2312"/>
          <w:sz w:val="32"/>
          <w:szCs w:val="32"/>
        </w:rPr>
        <w:t>附件4：</w:t>
      </w:r>
    </w:p>
    <w:p>
      <w:pPr>
        <w:adjustRightInd w:val="0"/>
        <w:snapToGrid w:val="0"/>
        <w:spacing w:line="360" w:lineRule="auto"/>
        <w:jc w:val="center"/>
        <w:rPr>
          <w:rFonts w:ascii="宋体" w:hAnsi="宋体" w:cs="宋体"/>
          <w:b/>
          <w:sz w:val="44"/>
          <w:szCs w:val="44"/>
        </w:rPr>
      </w:pPr>
      <w:r>
        <w:rPr>
          <w:rFonts w:hint="eastAsia" w:ascii="宋体" w:hAnsi="宋体" w:cs="宋体"/>
          <w:b/>
          <w:spacing w:val="-8"/>
          <w:sz w:val="44"/>
          <w:szCs w:val="44"/>
        </w:rPr>
        <w:t>365百姓</w:t>
      </w:r>
      <w:r>
        <w:rPr>
          <w:rFonts w:hint="eastAsia" w:ascii="宋体" w:hAnsi="宋体" w:cs="宋体"/>
          <w:b/>
          <w:sz w:val="44"/>
          <w:szCs w:val="44"/>
        </w:rPr>
        <w:t>故事汇群众宣讲活动</w:t>
      </w:r>
    </w:p>
    <w:p>
      <w:pPr>
        <w:spacing w:line="360" w:lineRule="auto"/>
        <w:jc w:val="center"/>
        <w:rPr>
          <w:rFonts w:ascii="宋体" w:hAnsi="宋体" w:cs="宋体"/>
          <w:b/>
          <w:bCs/>
          <w:sz w:val="44"/>
          <w:szCs w:val="44"/>
        </w:rPr>
      </w:pPr>
      <w:r>
        <w:rPr>
          <w:rFonts w:hint="eastAsia" w:ascii="宋体" w:hAnsi="宋体" w:cs="宋体"/>
          <w:b/>
          <w:bCs/>
          <w:sz w:val="44"/>
          <w:szCs w:val="44"/>
        </w:rPr>
        <w:t>项目自评报告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根据《石家庄市财政支出绩效评价办法》（石财绩[2013]2号），遵循“科学性、规范性、客观性和公正性”的原则，对2019年365百姓故事汇项目实施了财政支出绩效自评价，形成本评价报告。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ind w:firstLine="640" w:firstLineChars="200"/>
        <w:jc w:val="left"/>
        <w:rPr>
          <w:rFonts w:ascii="仿宋_GB2312" w:eastAsia="仿宋_GB2312"/>
          <w:sz w:val="32"/>
          <w:szCs w:val="32"/>
        </w:rPr>
      </w:pPr>
      <w:r>
        <w:rPr>
          <w:rFonts w:hint="eastAsia" w:ascii="仿宋_GB2312" w:eastAsia="仿宋_GB2312"/>
          <w:sz w:val="32"/>
          <w:szCs w:val="32"/>
        </w:rPr>
        <w:t>为庆祝中</w:t>
      </w:r>
      <w:r>
        <w:rPr>
          <w:rFonts w:hint="eastAsia" w:ascii="仿宋_GB2312" w:eastAsia="仿宋_GB2312"/>
          <w:sz w:val="32"/>
          <w:szCs w:val="32"/>
          <w:lang w:val="en-US" w:eastAsia="zh-CN"/>
        </w:rPr>
        <w:t>华人民共和国</w:t>
      </w:r>
      <w:r>
        <w:rPr>
          <w:rFonts w:hint="eastAsia" w:ascii="仿宋_GB2312" w:eastAsia="仿宋_GB2312"/>
          <w:sz w:val="32"/>
          <w:szCs w:val="32"/>
        </w:rPr>
        <w:t>成立70周年，充分发挥“365百姓故事汇”活动的品牌效应，按照省委宣传部通知要求，市委宣传部下发了石宣明电〔2019〕  号《中共石家庄市委宣传部关于广泛开展“我和我的祖国”——365百姓故事汇群众宣讲活动的通知》，决定在全市城乡广泛开展“我和我的祖国”——2019年石家庄市365百姓故事汇群众宣讲活动。</w:t>
      </w:r>
    </w:p>
    <w:p>
      <w:pPr>
        <w:pStyle w:val="4"/>
        <w:spacing w:before="0" w:beforeAutospacing="0" w:after="0" w:afterAutospacing="0" w:line="600" w:lineRule="exact"/>
        <w:ind w:firstLine="640" w:firstLineChars="200"/>
        <w:rPr>
          <w:rFonts w:ascii="仿宋_GB2312" w:hAnsi="Calibri" w:eastAsia="仿宋_GB2312" w:cs="黑体"/>
          <w:kern w:val="2"/>
          <w:sz w:val="32"/>
          <w:szCs w:val="32"/>
        </w:rPr>
      </w:pPr>
      <w:r>
        <w:rPr>
          <w:rFonts w:hint="eastAsia" w:ascii="仿宋_GB2312" w:hAnsi="Calibri" w:eastAsia="仿宋_GB2312" w:cs="黑体"/>
          <w:kern w:val="2"/>
          <w:sz w:val="32"/>
          <w:szCs w:val="32"/>
        </w:rPr>
        <w:t>2019年365百姓故事汇项目由市委宣传部主办，石家庄广播电视台承办，石家庄各县（市、区）委宣传部、市委各工委（系统）协办，石家庄广播电视台都市频道具体执行。</w:t>
      </w:r>
      <w:r>
        <w:rPr>
          <w:rFonts w:hint="eastAsia" w:ascii="仿宋_GB2312" w:hAnsi="Calibri" w:eastAsia="仿宋_GB2312" w:cs="黑体"/>
          <w:kern w:val="2"/>
          <w:sz w:val="32"/>
          <w:szCs w:val="32"/>
        </w:rPr>
        <w:br w:type="textWrapping"/>
      </w:r>
    </w:p>
    <w:p>
      <w:pPr>
        <w:ind w:firstLine="640" w:firstLineChars="200"/>
        <w:jc w:val="left"/>
        <w:rPr>
          <w:rFonts w:ascii="仿宋_GB2312" w:eastAsia="仿宋_GB2312"/>
          <w:sz w:val="32"/>
          <w:szCs w:val="32"/>
        </w:rPr>
      </w:pPr>
      <w:r>
        <w:rPr>
          <w:rFonts w:hint="eastAsia" w:ascii="仿宋_GB2312" w:eastAsia="仿宋_GB2312"/>
          <w:sz w:val="32"/>
          <w:szCs w:val="32"/>
        </w:rPr>
        <w:t>项目主要实施内容和范围</w:t>
      </w:r>
      <w:r>
        <w:rPr>
          <w:rFonts w:hint="eastAsia" w:ascii="仿宋_GB2312" w:eastAsia="仿宋_GB2312"/>
          <w:sz w:val="32"/>
          <w:szCs w:val="32"/>
        </w:rPr>
        <w:br w:type="textWrapping"/>
      </w:r>
      <w:r>
        <w:rPr>
          <w:rFonts w:hint="eastAsia" w:ascii="仿宋_GB2312" w:eastAsia="仿宋_GB2312"/>
          <w:sz w:val="32"/>
          <w:szCs w:val="32"/>
        </w:rPr>
        <w:t xml:space="preserve">  </w:t>
      </w:r>
      <w:r>
        <w:rPr>
          <w:rFonts w:hint="eastAsia" w:ascii="仿宋_GB2312" w:eastAsia="仿宋_GB2312"/>
          <w:b/>
          <w:bCs/>
          <w:sz w:val="32"/>
          <w:szCs w:val="32"/>
        </w:rPr>
        <w:t>主要实施内容：</w:t>
      </w:r>
      <w:r>
        <w:rPr>
          <w:rFonts w:hint="eastAsia" w:ascii="仿宋_GB2312" w:eastAsia="仿宋_GB2312"/>
          <w:sz w:val="32"/>
          <w:szCs w:val="32"/>
        </w:rPr>
        <w:t>以“我和我的祖国”为主题，组织发动我市基层党员群众，以真人真事和真情实感、创新的表现形式，讲述我市在新时代建设、改革中的爱国故事、奋斗故事。本活动从基层开始，逐层选拔、逐级展开。通过基层初选、全市选拔和集中展示，最终评选出我市好故事、好选手和好典型，在全市范围内推广传播，并推荐参加省级展演活动。</w:t>
      </w:r>
    </w:p>
    <w:p>
      <w:pPr>
        <w:ind w:firstLine="643" w:firstLineChars="200"/>
        <w:jc w:val="left"/>
        <w:rPr>
          <w:rFonts w:ascii="仿宋_GB2312" w:eastAsia="仿宋_GB2312"/>
          <w:sz w:val="32"/>
          <w:szCs w:val="32"/>
        </w:rPr>
      </w:pPr>
      <w:r>
        <w:rPr>
          <w:rFonts w:hint="eastAsia" w:ascii="仿宋_GB2312" w:eastAsia="仿宋_GB2312"/>
          <w:b/>
          <w:bCs/>
          <w:sz w:val="32"/>
          <w:szCs w:val="32"/>
        </w:rPr>
        <w:t>实施范围：</w:t>
      </w:r>
      <w:r>
        <w:rPr>
          <w:rFonts w:hint="eastAsia" w:ascii="仿宋_GB2312" w:eastAsia="仿宋_GB2312"/>
          <w:sz w:val="32"/>
          <w:szCs w:val="32"/>
        </w:rPr>
        <w:t>石家庄各县（市、区）委宣传部、市委各工委</w:t>
      </w:r>
    </w:p>
    <w:p>
      <w:pPr>
        <w:spacing w:line="600" w:lineRule="exact"/>
        <w:ind w:left="420" w:leftChars="200"/>
        <w:rPr>
          <w:rFonts w:ascii="仿宋" w:hAnsi="仿宋" w:eastAsia="仿宋" w:cs="仿宋"/>
          <w:bCs/>
          <w:sz w:val="32"/>
          <w:szCs w:val="32"/>
        </w:rPr>
      </w:pPr>
    </w:p>
    <w:p>
      <w:pPr>
        <w:numPr>
          <w:ilvl w:val="0"/>
          <w:numId w:val="1"/>
        </w:numPr>
        <w:spacing w:line="600" w:lineRule="exact"/>
        <w:ind w:firstLine="640" w:firstLineChars="200"/>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项目资金共拨付8万元，用于365百姓故事汇复赛、决赛、颁奖庆典以及参加省级赛等现场活动，资金来源为全额财政拨款。</w:t>
      </w:r>
    </w:p>
    <w:p>
      <w:pPr>
        <w:adjustRightInd w:val="0"/>
        <w:snapToGrid w:val="0"/>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预期绩效总目标，阶段性（当年）的绩效目标和指标：聚焦庆祝新中国成立70周年主线，以“我和我的祖国”为主题，以开展365百姓故事汇群众宣讲活动为载体，通过故事宣讲，展现新中国70年我市所取得的一系列辉煌成就，展示我市儿女爱国报国、为民服务、干事创业、拼搏奋进的风采，为新时代全面建设现代省会、经济强市凝聚强大精神力量。</w:t>
      </w:r>
    </w:p>
    <w:p>
      <w:pPr>
        <w:spacing w:line="600" w:lineRule="exact"/>
        <w:rPr>
          <w:rFonts w:hint="eastAsia" w:ascii="仿宋" w:hAnsi="仿宋" w:eastAsia="仿宋" w:cs="仿宋"/>
          <w:bCs/>
          <w:sz w:val="32"/>
          <w:szCs w:val="32"/>
        </w:rPr>
      </w:pPr>
    </w:p>
    <w:p>
      <w:pPr>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二、自评工作情况</w:t>
      </w:r>
    </w:p>
    <w:p>
      <w:pPr>
        <w:spacing w:line="360" w:lineRule="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b/>
          <w:bCs/>
          <w:sz w:val="32"/>
          <w:szCs w:val="32"/>
        </w:rPr>
        <w:t>（一）自评的组织工作</w:t>
      </w:r>
    </w:p>
    <w:p>
      <w:pPr>
        <w:spacing w:line="360" w:lineRule="auto"/>
        <w:ind w:firstLine="640"/>
        <w:rPr>
          <w:rFonts w:ascii="仿宋_GB2312" w:eastAsia="仿宋_GB2312"/>
          <w:sz w:val="32"/>
          <w:szCs w:val="32"/>
        </w:rPr>
      </w:pPr>
      <w:r>
        <w:rPr>
          <w:rFonts w:hint="eastAsia" w:ascii="仿宋_GB2312" w:eastAsia="仿宋_GB2312"/>
          <w:sz w:val="32"/>
          <w:szCs w:val="32"/>
        </w:rPr>
        <w:t>作为项目承办方，我台对项目评价工作非常重视，指导项目的具体执行单位都市频道成立了项目绩效自评工作组，及时召了专门会议，组织学习了相关法律文件和规定，并按要求逐项做好相关评价资料收集。</w:t>
      </w:r>
    </w:p>
    <w:p>
      <w:pPr>
        <w:spacing w:line="360" w:lineRule="auto"/>
        <w:rPr>
          <w:rFonts w:ascii="仿宋_GB2312" w:eastAsia="仿宋_GB2312"/>
          <w:sz w:val="32"/>
          <w:szCs w:val="32"/>
        </w:rPr>
      </w:pPr>
    </w:p>
    <w:p>
      <w:pPr>
        <w:numPr>
          <w:ilvl w:val="0"/>
          <w:numId w:val="2"/>
        </w:numPr>
        <w:spacing w:line="360" w:lineRule="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自评的方法和过程</w:t>
      </w:r>
    </w:p>
    <w:p>
      <w:pPr>
        <w:spacing w:line="360" w:lineRule="auto"/>
        <w:ind w:firstLine="640"/>
        <w:outlineLvl w:val="2"/>
        <w:rPr>
          <w:rFonts w:ascii="仿宋_GB2312" w:eastAsia="仿宋_GB2312"/>
          <w:sz w:val="32"/>
          <w:szCs w:val="32"/>
        </w:rPr>
      </w:pPr>
      <w:r>
        <w:rPr>
          <w:rFonts w:hint="eastAsia" w:ascii="仿宋_GB2312" w:eastAsia="仿宋_GB2312"/>
          <w:sz w:val="32"/>
          <w:szCs w:val="32"/>
        </w:rPr>
        <w:t>针对项目特点，制定了项目绩效自评打分标准和项目绩效自评打分表，并采用对照方法，按财政要求从项目产出指标、预算执行率指标、效益指标、满意度指标四个方面，对照实际执行情况进行评价打分。最后，根据评价结果撰写绩效评价报告。</w:t>
      </w:r>
    </w:p>
    <w:p>
      <w:pPr>
        <w:spacing w:line="360" w:lineRule="auto"/>
        <w:ind w:left="642"/>
        <w:rPr>
          <w:rFonts w:ascii="楷体_GB2312" w:hAnsi="楷体_GB2312" w:eastAsia="楷体_GB2312" w:cs="楷体_GB2312"/>
          <w:b/>
          <w:bCs/>
          <w:sz w:val="32"/>
          <w:szCs w:val="32"/>
        </w:rPr>
      </w:pPr>
    </w:p>
    <w:p>
      <w:pPr>
        <w:spacing w:line="360" w:lineRule="auto"/>
        <w:rPr>
          <w:rFonts w:ascii="仿宋_GB2312" w:eastAsia="仿宋_GB2312"/>
          <w:b/>
          <w:bCs/>
          <w:sz w:val="32"/>
          <w:szCs w:val="32"/>
        </w:rPr>
      </w:pPr>
      <w:r>
        <w:rPr>
          <w:rFonts w:hint="eastAsia" w:ascii="楷体_GB2312" w:hAnsi="楷体_GB2312" w:eastAsia="楷体_GB2312" w:cs="楷体_GB2312"/>
          <w:b/>
          <w:bCs/>
          <w:sz w:val="32"/>
          <w:szCs w:val="32"/>
        </w:rPr>
        <w:t xml:space="preserve">    （三）建立绩效评价指标体系</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总分100分。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一级指标权重：产出指标40分（包含数量、质量、时效、成本）、预算执行率指标10分、效益指标40分（包含经济效益、社会效益、生态效益、可持续影响）、满意度指标10分。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二、三级指标所占权重应当根据指标重要程度、项目实施阶段等因素综合确定，准确反映预算项目的产出和效果。</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同类评价对象的指标权重设置应当基本一致，便于评价结果相互比较。</w:t>
      </w:r>
    </w:p>
    <w:p>
      <w:pPr>
        <w:spacing w:line="360" w:lineRule="auto"/>
        <w:ind w:firstLine="640" w:firstLineChars="200"/>
        <w:rPr>
          <w:rFonts w:ascii="仿宋_GB2312" w:eastAsia="仿宋_GB2312"/>
          <w:sz w:val="32"/>
          <w:szCs w:val="32"/>
        </w:rPr>
      </w:pPr>
    </w:p>
    <w:tbl>
      <w:tblPr>
        <w:tblStyle w:val="5"/>
        <w:tblW w:w="9045" w:type="dxa"/>
        <w:tblInd w:w="0" w:type="dxa"/>
        <w:tblLayout w:type="fixed"/>
        <w:tblCellMar>
          <w:top w:w="0" w:type="dxa"/>
          <w:left w:w="0" w:type="dxa"/>
          <w:bottom w:w="0" w:type="dxa"/>
          <w:right w:w="0" w:type="dxa"/>
        </w:tblCellMar>
      </w:tblPr>
      <w:tblGrid>
        <w:gridCol w:w="1080"/>
        <w:gridCol w:w="1080"/>
        <w:gridCol w:w="2655"/>
        <w:gridCol w:w="2101"/>
        <w:gridCol w:w="1372"/>
        <w:gridCol w:w="757"/>
      </w:tblGrid>
      <w:tr>
        <w:tblPrEx>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三级指标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预期完成值</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自评得分</w:t>
            </w:r>
          </w:p>
        </w:tc>
      </w:tr>
      <w:tr>
        <w:tblPrEx>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产出指标</w:t>
            </w:r>
          </w:p>
          <w:p>
            <w:pPr>
              <w:widowControl/>
              <w:spacing w:line="20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（40分）</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数量指标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复赛选出25名选手及作品晋级（5分）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25个作品及选手</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 w:val="16"/>
                <w:szCs w:val="16"/>
              </w:rPr>
            </w:pPr>
            <w:r>
              <w:rPr>
                <w:rFonts w:hint="eastAsia" w:asciiTheme="minorEastAsia" w:hAnsiTheme="minorEastAsia" w:eastAsiaTheme="minorEastAsia" w:cstheme="minorEastAsia"/>
                <w:color w:val="000000"/>
                <w:sz w:val="16"/>
                <w:szCs w:val="16"/>
              </w:rPr>
              <w:t>5</w:t>
            </w:r>
          </w:p>
        </w:tc>
      </w:tr>
      <w:tr>
        <w:tblPrEx>
          <w:tblCellMar>
            <w:top w:w="0" w:type="dxa"/>
            <w:left w:w="0" w:type="dxa"/>
            <w:bottom w:w="0" w:type="dxa"/>
            <w:right w:w="0" w:type="dxa"/>
          </w:tblCellMar>
        </w:tblPrEx>
        <w:trPr>
          <w:trHeight w:val="105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决赛选出10名获奖选手（5分）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10名选手及参加省赛选手</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941"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质量指标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265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sz w:val="16"/>
                <w:szCs w:val="16"/>
              </w:rPr>
              <w:t>展示</w:t>
            </w:r>
            <w:r>
              <w:rPr>
                <w:rFonts w:hint="eastAsia" w:ascii="宋体" w:hAnsi="宋体" w:cs="宋体"/>
                <w:color w:val="000000"/>
                <w:sz w:val="16"/>
                <w:szCs w:val="16"/>
                <w:lang w:val="en-US" w:eastAsia="zh-CN"/>
              </w:rPr>
              <w:t>中华人民共和国成立</w:t>
            </w:r>
            <w:r>
              <w:rPr>
                <w:rFonts w:hint="eastAsia" w:ascii="宋体" w:hAnsi="宋体" w:cs="宋体"/>
                <w:color w:val="000000"/>
                <w:sz w:val="16"/>
                <w:szCs w:val="16"/>
              </w:rPr>
              <w:t>70周年来的优秀作品，感人，真实，具有传播性</w:t>
            </w:r>
          </w:p>
        </w:tc>
        <w:tc>
          <w:tcPr>
            <w:tcW w:w="2101"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cs="宋体"/>
                <w:color w:val="000000"/>
                <w:sz w:val="16"/>
                <w:szCs w:val="16"/>
              </w:rPr>
            </w:pPr>
            <w:r>
              <w:rPr>
                <w:rFonts w:hint="eastAsia" w:ascii="宋体" w:hAnsi="宋体" w:cs="宋体"/>
                <w:color w:val="000000"/>
                <w:sz w:val="16"/>
                <w:szCs w:val="16"/>
              </w:rPr>
              <w:t>复赛选手28名，决赛选手12名，获奖选手10名，优秀作品符合入选条件</w:t>
            </w:r>
          </w:p>
        </w:tc>
        <w:tc>
          <w:tcPr>
            <w:tcW w:w="1372"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时效指标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按市委宣传部和省级要求完成各环节</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成本指标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活动各环节基本成本</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80%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sz w:val="16"/>
                <w:szCs w:val="16"/>
              </w:rPr>
            </w:pPr>
            <w:r>
              <w:rPr>
                <w:rFonts w:hint="eastAsia" w:ascii="宋体" w:hAnsi="宋体" w:cs="宋体"/>
                <w:kern w:val="0"/>
                <w:sz w:val="16"/>
                <w:szCs w:val="16"/>
                <w:lang w:bidi="ar"/>
              </w:rPr>
              <w:t>按文件及协议进度执行预算</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sz w:val="16"/>
                <w:szCs w:val="16"/>
              </w:rPr>
            </w:pPr>
            <w:r>
              <w:rPr>
                <w:rFonts w:hint="eastAsia" w:ascii="宋体" w:hAnsi="宋体" w:cs="宋体"/>
                <w:kern w:val="0"/>
                <w:sz w:val="16"/>
                <w:szCs w:val="16"/>
                <w:lang w:bidi="ar"/>
              </w:rPr>
              <w:t>按时按进度</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pPr>
            <w:r>
              <w:rPr>
                <w:rFonts w:hint="eastAsia" w:cs="Calibri"/>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效益指标</w:t>
            </w:r>
          </w:p>
          <w:p>
            <w:pPr>
              <w:widowControl/>
              <w:spacing w:line="20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经济效益指标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活动作品传播提升品牌知名度和社会传播价值</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较上年活动提升</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cs="Calibri"/>
                <w:color w:val="000000"/>
                <w:szCs w:val="21"/>
              </w:rPr>
            </w:pPr>
            <w:r>
              <w:rPr>
                <w:rFonts w:hint="eastAsia" w:ascii="宋体" w:hAnsi="宋体" w:cs="宋体"/>
                <w:color w:val="000000"/>
                <w:sz w:val="16"/>
                <w:szCs w:val="16"/>
              </w:rPr>
              <w:t>80%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8</w:t>
            </w:r>
          </w:p>
        </w:tc>
      </w:tr>
      <w:tr>
        <w:tblPrEx>
          <w:tblCellMar>
            <w:top w:w="0" w:type="dxa"/>
            <w:left w:w="0" w:type="dxa"/>
            <w:bottom w:w="0" w:type="dxa"/>
            <w:right w:w="0" w:type="dxa"/>
          </w:tblCellMar>
        </w:tblPrEx>
        <w:trPr>
          <w:trHeight w:val="114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社会效益指标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265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展现</w:t>
            </w:r>
            <w:r>
              <w:rPr>
                <w:rFonts w:hint="eastAsia" w:ascii="宋体" w:hAnsi="宋体" w:cs="宋体"/>
                <w:color w:val="000000"/>
                <w:kern w:val="0"/>
                <w:sz w:val="16"/>
                <w:szCs w:val="16"/>
                <w:lang w:val="en-US" w:eastAsia="zh-CN" w:bidi="ar"/>
              </w:rPr>
              <w:t>中华人民共和国成立</w:t>
            </w:r>
            <w:r>
              <w:rPr>
                <w:rFonts w:hint="eastAsia" w:ascii="宋体" w:hAnsi="宋体" w:cs="宋体"/>
                <w:color w:val="000000"/>
                <w:kern w:val="0"/>
                <w:sz w:val="16"/>
                <w:szCs w:val="16"/>
                <w:lang w:bidi="ar"/>
              </w:rPr>
              <w:t>70年我市辉煌成就及我市儿女爱国报国、为民服务、干事创业、拼搏奋进的风采</w:t>
            </w:r>
          </w:p>
          <w:p>
            <w:pPr>
              <w:widowControl/>
              <w:jc w:val="left"/>
              <w:textAlignment w:val="center"/>
              <w:rPr>
                <w:rFonts w:ascii="宋体" w:hAnsi="宋体" w:cs="宋体"/>
                <w:color w:val="000000"/>
                <w:sz w:val="16"/>
                <w:szCs w:val="16"/>
              </w:rPr>
            </w:pPr>
          </w:p>
        </w:tc>
        <w:tc>
          <w:tcPr>
            <w:tcW w:w="2101"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cs="宋体"/>
                <w:color w:val="000000"/>
                <w:sz w:val="16"/>
                <w:szCs w:val="16"/>
              </w:rPr>
            </w:pPr>
            <w:r>
              <w:rPr>
                <w:rFonts w:hint="eastAsia" w:ascii="宋体" w:hAnsi="宋体" w:cs="宋体"/>
                <w:color w:val="000000"/>
                <w:sz w:val="16"/>
                <w:szCs w:val="16"/>
              </w:rPr>
              <w:t>挖掘征集传播好故事</w:t>
            </w:r>
          </w:p>
        </w:tc>
        <w:tc>
          <w:tcPr>
            <w:tcW w:w="1372"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9</w:t>
            </w:r>
          </w:p>
        </w:tc>
      </w:tr>
      <w:tr>
        <w:tblPrEx>
          <w:tblCellMar>
            <w:top w:w="0" w:type="dxa"/>
            <w:left w:w="0" w:type="dxa"/>
            <w:bottom w:w="0" w:type="dxa"/>
            <w:right w:w="0" w:type="dxa"/>
          </w:tblCellMar>
        </w:tblPrEx>
        <w:trPr>
          <w:trHeight w:val="755"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生态效益指标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指导各级群众学习楷模，为城市建设出力。</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114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可持续影响指标（10分）</w:t>
            </w:r>
          </w:p>
        </w:tc>
        <w:tc>
          <w:tcPr>
            <w:tcW w:w="265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宣传时代精神，弘扬社会主义核心价值观、占领宣传主阵地。</w:t>
            </w:r>
          </w:p>
          <w:p>
            <w:pPr>
              <w:widowControl/>
              <w:jc w:val="left"/>
              <w:textAlignment w:val="center"/>
              <w:rPr>
                <w:rFonts w:ascii="宋体" w:hAnsi="宋体" w:cs="宋体"/>
                <w:color w:val="000000"/>
                <w:sz w:val="16"/>
                <w:szCs w:val="16"/>
              </w:rPr>
            </w:pPr>
          </w:p>
        </w:tc>
        <w:tc>
          <w:tcPr>
            <w:tcW w:w="2101" w:type="dxa"/>
            <w:tcBorders>
              <w:top w:val="single" w:color="000000" w:sz="4" w:space="0"/>
              <w:left w:val="single" w:color="000000" w:sz="4" w:space="0"/>
              <w:right w:val="single" w:color="000000" w:sz="4" w:space="0"/>
            </w:tcBorders>
            <w:shd w:val="clear" w:color="auto" w:fill="auto"/>
            <w:tcMar>
              <w:top w:w="15" w:type="dxa"/>
              <w:left w:w="15" w:type="dxa"/>
              <w:right w:w="15" w:type="dxa"/>
            </w:tcMar>
          </w:tcPr>
          <w:p>
            <w:pPr>
              <w:widowControl/>
              <w:textAlignment w:val="center"/>
              <w:rPr>
                <w:rFonts w:ascii="宋体" w:hAnsi="宋体" w:cs="宋体"/>
                <w:color w:val="000000"/>
                <w:sz w:val="16"/>
                <w:szCs w:val="16"/>
              </w:rPr>
            </w:pPr>
            <w:r>
              <w:rPr>
                <w:rFonts w:hint="eastAsia" w:ascii="宋体" w:hAnsi="宋体" w:cs="宋体"/>
                <w:color w:val="000000"/>
                <w:kern w:val="0"/>
                <w:sz w:val="16"/>
                <w:szCs w:val="16"/>
                <w:lang w:bidi="ar"/>
              </w:rPr>
              <w:t>提高传统主流媒体影响力，传播社会正能量，营造良好社会舆论环境。发挥传统媒体持续影响力</w:t>
            </w:r>
          </w:p>
        </w:tc>
        <w:tc>
          <w:tcPr>
            <w:tcW w:w="1372"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6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满意度指标</w:t>
            </w:r>
          </w:p>
          <w:p>
            <w:pPr>
              <w:widowControl/>
              <w:spacing w:line="20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满意度指标</w:t>
            </w:r>
          </w:p>
        </w:tc>
        <w:tc>
          <w:tcPr>
            <w:tcW w:w="2655"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提高基层干部群众对活动传播满意度</w:t>
            </w:r>
          </w:p>
        </w:tc>
        <w:tc>
          <w:tcPr>
            <w:tcW w:w="2101" w:type="dxa"/>
            <w:tcBorders>
              <w:top w:val="single" w:color="000000" w:sz="4" w:space="0"/>
              <w:left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仿宋" w:hAnsi="仿宋" w:eastAsia="仿宋" w:cs="仿宋"/>
                <w:color w:val="000000"/>
                <w:kern w:val="0"/>
                <w:sz w:val="16"/>
                <w:szCs w:val="16"/>
                <w:lang w:bidi="ar"/>
              </w:rPr>
            </w:pPr>
            <w:r>
              <w:rPr>
                <w:rFonts w:hint="eastAsia" w:ascii="仿宋" w:hAnsi="仿宋" w:eastAsia="仿宋" w:cs="仿宋"/>
                <w:color w:val="000000"/>
                <w:kern w:val="0"/>
                <w:sz w:val="16"/>
                <w:szCs w:val="16"/>
                <w:lang w:bidi="ar"/>
              </w:rPr>
              <w:t>95%以上</w:t>
            </w:r>
          </w:p>
          <w:p>
            <w:pPr>
              <w:widowControl/>
              <w:jc w:val="center"/>
              <w:textAlignment w:val="center"/>
              <w:rPr>
                <w:rFonts w:ascii="仿宋" w:hAnsi="仿宋" w:eastAsia="仿宋" w:cs="仿宋"/>
                <w:color w:val="000000"/>
                <w:sz w:val="16"/>
                <w:szCs w:val="16"/>
              </w:rPr>
            </w:pPr>
          </w:p>
        </w:tc>
        <w:tc>
          <w:tcPr>
            <w:tcW w:w="1372" w:type="dxa"/>
            <w:tcBorders>
              <w:top w:val="single" w:color="000000" w:sz="4" w:space="0"/>
              <w:left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9</w:t>
            </w:r>
          </w:p>
        </w:tc>
      </w:tr>
      <w:tr>
        <w:tblPrEx>
          <w:tblCellMar>
            <w:top w:w="0" w:type="dxa"/>
            <w:left w:w="0" w:type="dxa"/>
            <w:bottom w:w="0" w:type="dxa"/>
            <w:right w:w="0" w:type="dxa"/>
          </w:tblCellMar>
        </w:tblPrEx>
        <w:trPr>
          <w:trHeight w:val="447"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96</w:t>
            </w:r>
          </w:p>
        </w:tc>
      </w:tr>
    </w:tbl>
    <w:p>
      <w:pPr>
        <w:spacing w:line="360" w:lineRule="auto"/>
        <w:ind w:firstLine="640" w:firstLineChars="200"/>
        <w:rPr>
          <w:rFonts w:ascii="仿宋_GB2312" w:eastAsia="仿宋_GB2312"/>
          <w:sz w:val="32"/>
          <w:szCs w:val="32"/>
        </w:rPr>
      </w:pPr>
    </w:p>
    <w:p>
      <w:pPr>
        <w:spacing w:line="360" w:lineRule="auto"/>
        <w:rPr>
          <w:rFonts w:ascii="黑体" w:hAnsi="黑体" w:eastAsia="黑体"/>
          <w:b/>
          <w:bCs/>
          <w:sz w:val="32"/>
          <w:szCs w:val="32"/>
        </w:rPr>
      </w:pPr>
      <w:r>
        <w:rPr>
          <w:rFonts w:hint="eastAsia" w:ascii="仿宋_GB2312" w:eastAsia="仿宋_GB2312"/>
          <w:b/>
          <w:bCs/>
          <w:sz w:val="32"/>
          <w:szCs w:val="32"/>
        </w:rPr>
        <w:t xml:space="preserve">    </w:t>
      </w:r>
      <w:r>
        <w:rPr>
          <w:rFonts w:hint="eastAsia" w:ascii="黑体" w:hAnsi="黑体" w:eastAsia="黑体"/>
          <w:sz w:val="32"/>
          <w:szCs w:val="32"/>
        </w:rPr>
        <w:t>三、项目执行及绩效实现情况</w:t>
      </w:r>
    </w:p>
    <w:p>
      <w:pPr>
        <w:numPr>
          <w:ilvl w:val="0"/>
          <w:numId w:val="3"/>
        </w:numPr>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预算执行情况</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项目按文件及协议进度执行预算，得分10分。</w:t>
      </w:r>
    </w:p>
    <w:p>
      <w:pPr>
        <w:spacing w:line="360" w:lineRule="auto"/>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b/>
          <w:bCs/>
          <w:sz w:val="32"/>
          <w:szCs w:val="32"/>
        </w:rPr>
        <w:t xml:space="preserve"> （二）项目产出</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数量指标：项目中通过初选、复赛选出25名选手及作品晋级决赛，决赛选出10名获奖选手及相关作品。完成率100%，得分10分。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质量指标：复赛选手28名、决赛选手12名、获奖选手10名，优秀作品符合入选条件，展示中华人民共和国成立</w:t>
      </w:r>
      <w:bookmarkStart w:id="0" w:name="_GoBack"/>
      <w:bookmarkEnd w:id="0"/>
      <w:r>
        <w:rPr>
          <w:rFonts w:hint="eastAsia" w:ascii="仿宋_GB2312" w:eastAsia="仿宋_GB2312"/>
          <w:sz w:val="32"/>
          <w:szCs w:val="32"/>
        </w:rPr>
        <w:t xml:space="preserve">70周年来的优秀作品，感人，真实，具有传播性。完成率100%，得分10分。   </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时效指标：按市委宣传部和省级要求完成各环节，完成率100%，得分10分。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成本指标：活动各环节基本成本符合经费计划，完成率100%，得分10分。</w:t>
      </w:r>
    </w:p>
    <w:p>
      <w:pPr>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（三）项目效益</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项目结束后，通过对活动优秀作品的广泛传播，提升了该项目的品牌知名度和社会传播价值，展现了中</w:t>
      </w:r>
      <w:r>
        <w:rPr>
          <w:rFonts w:hint="eastAsia" w:ascii="仿宋_GB2312" w:eastAsia="仿宋_GB2312"/>
          <w:sz w:val="32"/>
          <w:szCs w:val="32"/>
          <w:lang w:val="en-US" w:eastAsia="zh-CN"/>
        </w:rPr>
        <w:t>华人民共和国成立</w:t>
      </w:r>
      <w:r>
        <w:rPr>
          <w:rFonts w:hint="eastAsia" w:ascii="仿宋_GB2312" w:eastAsia="仿宋_GB2312"/>
          <w:sz w:val="32"/>
          <w:szCs w:val="32"/>
        </w:rPr>
        <w:t>70</w:t>
      </w:r>
      <w:r>
        <w:rPr>
          <w:rFonts w:hint="eastAsia" w:ascii="仿宋_GB2312" w:eastAsia="仿宋_GB2312"/>
          <w:sz w:val="32"/>
          <w:szCs w:val="32"/>
          <w:lang w:val="en-US" w:eastAsia="zh-CN"/>
        </w:rPr>
        <w:t>周</w:t>
      </w:r>
      <w:r>
        <w:rPr>
          <w:rFonts w:hint="eastAsia" w:ascii="仿宋_GB2312" w:eastAsia="仿宋_GB2312"/>
          <w:sz w:val="32"/>
          <w:szCs w:val="32"/>
        </w:rPr>
        <w:t>年来我市辉煌成就及我市儿女爱国报国、为民服务、干事创业、拼搏奋进的风采。这些优秀作品将激励各级群众学习楷模，为城市建设出力。通过项目的逐年举办和项目正向传播的逐步深入，宣传时代精神，弘扬社会主义核心价值观。</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经过对经济效益、社会效益、生态效益、可持续影响等情况分析，总得分37分。</w:t>
      </w:r>
    </w:p>
    <w:p>
      <w:pPr>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（四）满意度</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项目的实施对基层干部和群众凝心聚力为城市建设积极贡献起到重要作用，干部群众对活动满意度较高，满意度95%以上，得分9分</w:t>
      </w:r>
    </w:p>
    <w:p>
      <w:pPr>
        <w:spacing w:line="360" w:lineRule="auto"/>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项目具有明确的目标，项目实施过程中能够严格按照项目计划和相关规定执行，资金到位及时，使用得当，项目管理效果较好，经过各项评分，总得分96分，综合绩效评价等级为优秀。</w:t>
      </w:r>
    </w:p>
    <w:p>
      <w:pPr>
        <w:spacing w:line="360" w:lineRule="auto"/>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360" w:lineRule="auto"/>
        <w:ind w:firstLine="643" w:firstLineChars="200"/>
        <w:rPr>
          <w:rFonts w:ascii="楷体_GB2312" w:hAnsi="楷体_GB2312" w:eastAsia="楷体_GB2312"/>
          <w:b/>
          <w:bCs/>
          <w:sz w:val="32"/>
          <w:szCs w:val="32"/>
        </w:rPr>
      </w:pPr>
      <w:r>
        <w:rPr>
          <w:rFonts w:hint="eastAsia" w:ascii="楷体_GB2312" w:hAnsi="楷体_GB2312" w:eastAsia="楷体_GB2312"/>
          <w:b/>
          <w:bCs/>
          <w:sz w:val="32"/>
          <w:szCs w:val="32"/>
        </w:rPr>
        <w:t>（一）项目存在的主要问题</w:t>
      </w:r>
    </w:p>
    <w:p>
      <w:pPr>
        <w:spacing w:line="360" w:lineRule="auto"/>
        <w:ind w:firstLine="640" w:firstLineChars="200"/>
        <w:rPr>
          <w:rFonts w:ascii="楷体_GB2312" w:hAnsi="楷体_GB2312" w:eastAsia="楷体_GB2312"/>
          <w:b/>
          <w:bCs/>
          <w:sz w:val="32"/>
          <w:szCs w:val="32"/>
        </w:rPr>
      </w:pPr>
      <w:r>
        <w:rPr>
          <w:rFonts w:hint="eastAsia" w:ascii="仿宋_GB2312" w:eastAsia="仿宋_GB2312"/>
          <w:sz w:val="32"/>
          <w:szCs w:val="32"/>
        </w:rPr>
        <w:t>由于项目宣传还不是全面覆盖，项目征集作品内容所限，还有更多的优秀作品和事迹可以挖掘传播，项目经济效益和社会效益指标尚有提升空间；项目举办依托各级宣传部门，基层覆盖面有待继续拓展，群众满意度还可以再度提升。</w:t>
      </w:r>
    </w:p>
    <w:p>
      <w:pPr>
        <w:numPr>
          <w:ilvl w:val="0"/>
          <w:numId w:val="3"/>
        </w:numPr>
        <w:spacing w:line="360" w:lineRule="auto"/>
        <w:ind w:firstLine="643" w:firstLineChars="200"/>
        <w:rPr>
          <w:rFonts w:ascii="楷体_GB2312" w:hAnsi="楷体_GB2312" w:eastAsia="楷体_GB2312"/>
          <w:b/>
          <w:bCs/>
          <w:sz w:val="32"/>
          <w:szCs w:val="32"/>
        </w:rPr>
      </w:pPr>
      <w:r>
        <w:rPr>
          <w:rFonts w:hint="eastAsia" w:ascii="楷体_GB2312" w:hAnsi="楷体_GB2312" w:eastAsia="楷体_GB2312"/>
          <w:b/>
          <w:bCs/>
          <w:sz w:val="32"/>
          <w:szCs w:val="32"/>
        </w:rPr>
        <w:t>针对问题提出具体的改进措施或建议</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在项目持续开展时，通过增加新媒体宣传通道，进一步提升社会和经济效益；通过项目开展下沉基层，提升更多群众满意度。</w:t>
      </w:r>
    </w:p>
    <w:p>
      <w:pPr>
        <w:numPr>
          <w:ilvl w:val="0"/>
          <w:numId w:val="4"/>
        </w:num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评价工作组人员名单及签字</w:t>
      </w:r>
      <w:r>
        <w:rPr>
          <w:rFonts w:hint="eastAsia" w:ascii="仿宋_GB2312" w:eastAsia="仿宋_GB2312"/>
          <w:sz w:val="32"/>
          <w:szCs w:val="32"/>
        </w:rPr>
        <w:t>（姓名、工作单位、职务、职称）</w:t>
      </w:r>
    </w:p>
    <w:tbl>
      <w:tblPr>
        <w:tblStyle w:val="6"/>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rPr>
                <w:rFonts w:ascii="仿宋_GB2312" w:eastAsia="仿宋_GB2312"/>
                <w:b/>
                <w:bCs/>
                <w:sz w:val="32"/>
                <w:szCs w:val="32"/>
              </w:rPr>
            </w:pPr>
            <w:r>
              <w:rPr>
                <w:rFonts w:hint="eastAsia" w:ascii="仿宋_GB2312" w:eastAsia="仿宋_GB2312"/>
                <w:b/>
                <w:bCs/>
                <w:sz w:val="32"/>
                <w:szCs w:val="32"/>
              </w:rPr>
              <w:t>姓名</w:t>
            </w:r>
          </w:p>
        </w:tc>
        <w:tc>
          <w:tcPr>
            <w:tcW w:w="2021" w:type="dxa"/>
          </w:tcPr>
          <w:p>
            <w:pPr>
              <w:spacing w:line="360" w:lineRule="auto"/>
              <w:jc w:val="center"/>
              <w:rPr>
                <w:b/>
                <w:bCs/>
                <w:sz w:val="32"/>
                <w:szCs w:val="32"/>
              </w:rPr>
            </w:pPr>
            <w:r>
              <w:rPr>
                <w:rFonts w:hint="eastAsia"/>
                <w:b/>
                <w:bCs/>
                <w:sz w:val="32"/>
                <w:szCs w:val="32"/>
              </w:rPr>
              <w:t>工作单位</w:t>
            </w:r>
          </w:p>
        </w:tc>
        <w:tc>
          <w:tcPr>
            <w:tcW w:w="2243" w:type="dxa"/>
          </w:tcPr>
          <w:p>
            <w:pPr>
              <w:spacing w:line="360" w:lineRule="auto"/>
              <w:jc w:val="center"/>
              <w:rPr>
                <w:b/>
                <w:bCs/>
                <w:sz w:val="32"/>
                <w:szCs w:val="32"/>
              </w:rPr>
            </w:pPr>
            <w:r>
              <w:rPr>
                <w:rFonts w:hint="eastAsia"/>
                <w:b/>
                <w:bCs/>
                <w:sz w:val="32"/>
                <w:szCs w:val="32"/>
              </w:rPr>
              <w:t>职务</w:t>
            </w:r>
          </w:p>
        </w:tc>
        <w:tc>
          <w:tcPr>
            <w:tcW w:w="1971" w:type="dxa"/>
          </w:tcPr>
          <w:p>
            <w:pPr>
              <w:spacing w:line="360" w:lineRule="auto"/>
              <w:jc w:val="center"/>
              <w:rPr>
                <w:b/>
                <w:bCs/>
                <w:sz w:val="32"/>
                <w:szCs w:val="32"/>
              </w:rPr>
            </w:pPr>
            <w:r>
              <w:rPr>
                <w:rFonts w:hint="eastAsia"/>
                <w:b/>
                <w:bCs/>
                <w:sz w:val="32"/>
                <w:szCs w:val="32"/>
              </w:rPr>
              <w:t>职称</w:t>
            </w:r>
          </w:p>
        </w:tc>
        <w:tc>
          <w:tcPr>
            <w:tcW w:w="1511" w:type="dxa"/>
          </w:tcPr>
          <w:p>
            <w:pPr>
              <w:spacing w:line="360" w:lineRule="auto"/>
              <w:jc w:val="center"/>
              <w:rPr>
                <w:b/>
                <w:bCs/>
                <w:sz w:val="32"/>
                <w:szCs w:val="32"/>
              </w:rPr>
            </w:pPr>
            <w:r>
              <w:rPr>
                <w:rFonts w:hint="eastAsia"/>
                <w:b/>
                <w:bCs/>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309" w:type="dxa"/>
          </w:tcPr>
          <w:p>
            <w:pPr>
              <w:spacing w:line="360" w:lineRule="auto"/>
              <w:jc w:val="center"/>
            </w:pPr>
            <w:r>
              <w:rPr>
                <w:rFonts w:hint="eastAsia"/>
              </w:rPr>
              <w:t>王永利</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副台长</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pPr>
            <w:r>
              <w:rPr>
                <w:rFonts w:hint="eastAsia"/>
              </w:rPr>
              <w:t>叶继民</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都市频道总监</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pPr>
            <w:r>
              <w:rPr>
                <w:rFonts w:hint="eastAsia"/>
              </w:rPr>
              <w:t>陈谱</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都市频道副总监</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pPr>
            <w:r>
              <w:rPr>
                <w:rFonts w:hint="eastAsia"/>
              </w:rPr>
              <w:t>高贵敏</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技术中心常务副主任</w:t>
            </w:r>
          </w:p>
        </w:tc>
        <w:tc>
          <w:tcPr>
            <w:tcW w:w="1971" w:type="dxa"/>
          </w:tcPr>
          <w:p>
            <w:pPr>
              <w:spacing w:line="360" w:lineRule="auto"/>
            </w:pPr>
          </w:p>
        </w:tc>
        <w:tc>
          <w:tcPr>
            <w:tcW w:w="1511" w:type="dxa"/>
          </w:tcPr>
          <w:p>
            <w:pPr>
              <w:spacing w:line="360" w:lineRule="auto"/>
            </w:pPr>
          </w:p>
        </w:tc>
      </w:tr>
    </w:tbl>
    <w:p>
      <w:pPr>
        <w:adjustRightInd w:val="0"/>
        <w:snapToGrid w:val="0"/>
        <w:spacing w:line="360" w:lineRule="auto"/>
        <w:ind w:left="420" w:leftChars="200"/>
        <w:rPr>
          <w:rFonts w:ascii="仿宋_GB2312" w:eastAsia="仿宋_GB2312"/>
          <w:sz w:val="32"/>
          <w:szCs w:val="32"/>
        </w:rPr>
      </w:pPr>
    </w:p>
    <w:p>
      <w:pPr>
        <w:spacing w:line="360" w:lineRule="auto"/>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7D3937"/>
    <w:multiLevelType w:val="singleLevel"/>
    <w:tmpl w:val="897D3937"/>
    <w:lvl w:ilvl="0" w:tentative="0">
      <w:start w:val="6"/>
      <w:numFmt w:val="chineseCounting"/>
      <w:suff w:val="nothing"/>
      <w:lvlText w:val="%1、"/>
      <w:lvlJc w:val="left"/>
      <w:rPr>
        <w:rFonts w:hint="eastAsia"/>
      </w:rPr>
    </w:lvl>
  </w:abstractNum>
  <w:abstractNum w:abstractNumId="1">
    <w:nsid w:val="909F87C0"/>
    <w:multiLevelType w:val="singleLevel"/>
    <w:tmpl w:val="909F87C0"/>
    <w:lvl w:ilvl="0" w:tentative="0">
      <w:start w:val="2"/>
      <w:numFmt w:val="chineseCounting"/>
      <w:suff w:val="nothing"/>
      <w:lvlText w:val="（%1）"/>
      <w:lvlJc w:val="left"/>
      <w:pPr>
        <w:ind w:left="642" w:firstLine="0"/>
      </w:pPr>
      <w:rPr>
        <w:rFonts w:hint="eastAsia"/>
      </w:rPr>
    </w:lvl>
  </w:abstractNum>
  <w:abstractNum w:abstractNumId="2">
    <w:nsid w:val="DFB76662"/>
    <w:multiLevelType w:val="singleLevel"/>
    <w:tmpl w:val="DFB76662"/>
    <w:lvl w:ilvl="0" w:tentative="0">
      <w:start w:val="2"/>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551c1ce7-cac0-46f9-a35a-079392a3354b"/>
  </w:docVars>
  <w:rsids>
    <w:rsidRoot w:val="0EBD2122"/>
    <w:rsid w:val="00003DE7"/>
    <w:rsid w:val="00AB5A38"/>
    <w:rsid w:val="02B43A28"/>
    <w:rsid w:val="05ED38C3"/>
    <w:rsid w:val="0E4F6D2E"/>
    <w:rsid w:val="0EB97A43"/>
    <w:rsid w:val="0EBD2122"/>
    <w:rsid w:val="11B71E6A"/>
    <w:rsid w:val="1AAF0063"/>
    <w:rsid w:val="1BE140DE"/>
    <w:rsid w:val="217F2EE9"/>
    <w:rsid w:val="24200A53"/>
    <w:rsid w:val="248C197D"/>
    <w:rsid w:val="252959AF"/>
    <w:rsid w:val="277A6671"/>
    <w:rsid w:val="289D0D76"/>
    <w:rsid w:val="33EB6CFF"/>
    <w:rsid w:val="3B625C0A"/>
    <w:rsid w:val="3CEE1963"/>
    <w:rsid w:val="47C57450"/>
    <w:rsid w:val="512260B4"/>
    <w:rsid w:val="621D7C16"/>
    <w:rsid w:val="653820A0"/>
    <w:rsid w:val="66AF0CE5"/>
    <w:rsid w:val="6E5B14A6"/>
    <w:rsid w:val="7BB51E06"/>
    <w:rsid w:val="7C387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2615</Words>
  <Characters>2756</Characters>
  <Lines>20</Lines>
  <Paragraphs>5</Paragraphs>
  <TotalTime>11</TotalTime>
  <ScaleCrop>false</ScaleCrop>
  <LinksUpToDate>false</LinksUpToDate>
  <CharactersWithSpaces>2783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 </cp:lastModifiedBy>
  <cp:lastPrinted>2020-02-12T05:54:00Z</cp:lastPrinted>
  <dcterms:modified xsi:type="dcterms:W3CDTF">2024-09-11T07:00:38Z</dcterms:modified>
  <dc:title>附件3：</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49D55496EEC0490AB963ABBAEF38F3E1</vt:lpwstr>
  </property>
</Properties>
</file>