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360" w:lineRule="auto"/>
        <w:ind w:left="0" w:leftChars="0" w:right="0" w:firstLine="0" w:firstLineChars="0"/>
        <w:jc w:val="center"/>
        <w:textAlignment w:val="auto"/>
        <w:outlineLvl w:val="9"/>
        <w:rPr>
          <w:rFonts w:hint="eastAsia" w:ascii="宋体" w:hAnsi="宋体" w:cs="宋体"/>
          <w:b/>
          <w:bCs/>
          <w:sz w:val="44"/>
          <w:szCs w:val="44"/>
          <w:lang w:val="en-US" w:eastAsia="zh-CN"/>
        </w:rPr>
      </w:pPr>
    </w:p>
    <w:p>
      <w:pPr>
        <w:widowControl w:val="0"/>
        <w:wordWrap/>
        <w:spacing w:line="360" w:lineRule="auto"/>
        <w:ind w:left="0" w:leftChars="0" w:right="0" w:firstLine="0" w:firstLineChars="0"/>
        <w:jc w:val="center"/>
        <w:textAlignment w:val="auto"/>
        <w:outlineLvl w:val="9"/>
        <w:rPr>
          <w:rFonts w:hint="eastAsia" w:ascii="宋体" w:hAnsi="宋体" w:cs="宋体"/>
          <w:b/>
          <w:bCs/>
          <w:sz w:val="44"/>
          <w:szCs w:val="44"/>
          <w:lang w:val="en-US" w:eastAsia="zh-CN"/>
        </w:rPr>
      </w:pPr>
    </w:p>
    <w:p>
      <w:pPr>
        <w:widowControl w:val="0"/>
        <w:wordWrap/>
        <w:spacing w:line="360" w:lineRule="auto"/>
        <w:ind w:left="0" w:leftChars="0" w:right="0" w:firstLine="0" w:firstLineChars="0"/>
        <w:jc w:val="center"/>
        <w:textAlignment w:val="auto"/>
        <w:outlineLvl w:val="9"/>
        <w:rPr>
          <w:rFonts w:hint="eastAsia" w:ascii="宋体" w:hAnsi="宋体" w:eastAsia="宋体" w:cs="宋体"/>
          <w:b/>
          <w:bCs/>
          <w:sz w:val="44"/>
          <w:szCs w:val="44"/>
          <w:lang w:val="en-US" w:eastAsia="zh-CN"/>
        </w:rPr>
      </w:pPr>
      <w:r>
        <w:rPr>
          <w:rFonts w:hint="eastAsia" w:ascii="宋体" w:hAnsi="宋体" w:cs="宋体"/>
          <w:b/>
          <w:bCs/>
          <w:sz w:val="44"/>
          <w:szCs w:val="44"/>
          <w:lang w:val="en-US" w:eastAsia="zh-CN"/>
        </w:rPr>
        <w:t>石家庄市文化广电和旅游局</w:t>
      </w:r>
    </w:p>
    <w:p>
      <w:pPr>
        <w:widowControl w:val="0"/>
        <w:wordWrap/>
        <w:spacing w:line="360" w:lineRule="auto"/>
        <w:ind w:left="0" w:leftChars="0" w:right="0" w:firstLine="0" w:firstLineChars="0"/>
        <w:jc w:val="center"/>
        <w:textAlignment w:val="auto"/>
        <w:outlineLvl w:val="9"/>
        <w:rPr>
          <w:rFonts w:hint="eastAsia" w:ascii="宋体" w:hAnsi="宋体" w:eastAsia="宋体" w:cs="宋体"/>
          <w:b/>
          <w:bCs/>
          <w:sz w:val="44"/>
          <w:szCs w:val="44"/>
        </w:rPr>
      </w:pPr>
      <w:r>
        <w:rPr>
          <w:rFonts w:hint="eastAsia" w:ascii="宋体" w:hAnsi="宋体" w:cs="宋体"/>
          <w:b/>
          <w:bCs/>
          <w:sz w:val="44"/>
          <w:szCs w:val="44"/>
          <w:lang w:eastAsia="zh-CN"/>
        </w:rPr>
        <w:t>关于</w:t>
      </w:r>
      <w:r>
        <w:rPr>
          <w:rFonts w:hint="eastAsia" w:ascii="宋体" w:hAnsi="宋体" w:eastAsia="宋体" w:cs="宋体"/>
          <w:b/>
          <w:bCs/>
          <w:sz w:val="44"/>
          <w:szCs w:val="44"/>
        </w:rPr>
        <w:t>滹沱河生态走廊指示标识，文化旅游导向标识，文化景观建设及智慧化导游导览建设项目</w:t>
      </w:r>
    </w:p>
    <w:p>
      <w:pPr>
        <w:widowControl w:val="0"/>
        <w:wordWrap/>
        <w:spacing w:line="360" w:lineRule="auto"/>
        <w:ind w:left="0" w:leftChars="0" w:right="0" w:firstLine="0" w:firstLineChars="0"/>
        <w:jc w:val="center"/>
        <w:textAlignment w:val="auto"/>
        <w:outlineLvl w:val="9"/>
        <w:rPr>
          <w:rFonts w:hint="eastAsia" w:ascii="宋体" w:hAnsi="宋体" w:eastAsia="宋体" w:cs="宋体"/>
          <w:b/>
          <w:bCs/>
          <w:sz w:val="44"/>
          <w:szCs w:val="44"/>
        </w:rPr>
      </w:pPr>
      <w:r>
        <w:rPr>
          <w:rFonts w:hint="eastAsia" w:ascii="宋体" w:hAnsi="宋体" w:eastAsia="宋体" w:cs="宋体"/>
          <w:b/>
          <w:bCs/>
          <w:sz w:val="44"/>
          <w:szCs w:val="44"/>
          <w:lang w:eastAsia="zh-CN"/>
        </w:rPr>
        <w:t>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，遵循“科学性、规范性、客观性和公正性”的原则，对滹沱河生态走廊指示标识，文化旅游导向标识，文化景观建设及智慧化导游导览建设项目实施了</w:t>
      </w:r>
      <w:r>
        <w:rPr>
          <w:rFonts w:hint="eastAsia" w:ascii="仿宋_GB2312" w:eastAsia="仿宋_GB2312"/>
          <w:sz w:val="32"/>
          <w:szCs w:val="32"/>
          <w:lang w:eastAsia="zh-CN"/>
        </w:rPr>
        <w:t>财政支出绩效自评</w:t>
      </w:r>
      <w:r>
        <w:rPr>
          <w:rFonts w:hint="eastAsia" w:ascii="仿宋_GB2312" w:eastAsia="仿宋_GB2312"/>
          <w:sz w:val="32"/>
          <w:szCs w:val="32"/>
        </w:rPr>
        <w:t>，形成本评价报告。</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jc w:val="both"/>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3" w:firstLineChars="200"/>
        <w:jc w:val="both"/>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3" w:firstLineChars="200"/>
        <w:jc w:val="both"/>
        <w:textAlignment w:val="auto"/>
        <w:outlineLvl w:val="9"/>
        <w:rPr>
          <w:rFonts w:hint="eastAsia" w:ascii="仿宋_GB2312" w:eastAsia="仿宋_GB2312"/>
          <w:sz w:val="32"/>
          <w:szCs w:val="32"/>
          <w:lang w:eastAsia="zh-CN"/>
        </w:rPr>
      </w:pPr>
      <w:r>
        <w:rPr>
          <w:rFonts w:hint="eastAsia" w:ascii="仿宋_GB2312" w:eastAsia="仿宋_GB2312"/>
          <w:b/>
          <w:bCs/>
          <w:sz w:val="32"/>
          <w:szCs w:val="32"/>
        </w:rPr>
        <w:t>1、</w:t>
      </w:r>
      <w:r>
        <w:rPr>
          <w:rFonts w:hint="eastAsia" w:ascii="仿宋_GB2312" w:eastAsia="仿宋_GB2312"/>
          <w:b/>
          <w:bCs/>
          <w:sz w:val="32"/>
          <w:szCs w:val="32"/>
          <w:lang w:eastAsia="zh-CN"/>
        </w:rPr>
        <w:t>项目实施单位：</w:t>
      </w:r>
      <w:r>
        <w:rPr>
          <w:rFonts w:hint="eastAsia" w:ascii="仿宋_GB2312" w:eastAsia="仿宋_GB2312"/>
          <w:sz w:val="32"/>
          <w:szCs w:val="32"/>
          <w:lang w:val="en-US" w:eastAsia="zh-CN"/>
        </w:rPr>
        <w:t>2019年，</w:t>
      </w:r>
      <w:r>
        <w:rPr>
          <w:rFonts w:hint="eastAsia" w:ascii="仿宋_GB2312" w:eastAsia="仿宋_GB2312"/>
          <w:sz w:val="32"/>
          <w:szCs w:val="32"/>
          <w:lang w:eastAsia="zh-CN"/>
        </w:rPr>
        <w:t>第四届河北省旅游产业发展大会在石家庄市举办</w:t>
      </w:r>
      <w:r>
        <w:rPr>
          <w:rFonts w:hint="eastAsia" w:ascii="仿宋_GB2312" w:eastAsia="仿宋_GB2312"/>
          <w:sz w:val="32"/>
          <w:szCs w:val="32"/>
          <w:lang w:val="en-US" w:eastAsia="zh-CN"/>
        </w:rPr>
        <w:t>，“</w:t>
      </w:r>
      <w:r>
        <w:rPr>
          <w:rFonts w:hint="eastAsia" w:ascii="仿宋_GB2312" w:eastAsia="仿宋_GB2312"/>
          <w:sz w:val="32"/>
          <w:szCs w:val="32"/>
          <w:lang w:eastAsia="zh-CN"/>
        </w:rPr>
        <w:t>滹沱河生态走廊指示标识，文化旅游导向标识，文化景观建设及智慧化导游导览建设项目”为旅发大会建设项目，</w:t>
      </w:r>
      <w:r>
        <w:rPr>
          <w:rFonts w:hint="eastAsia" w:ascii="仿宋_GB2312" w:eastAsia="仿宋_GB2312"/>
          <w:sz w:val="32"/>
          <w:szCs w:val="32"/>
          <w:lang w:val="en-US" w:eastAsia="zh-CN"/>
        </w:rPr>
        <w:t>于2</w:t>
      </w:r>
      <w:r>
        <w:rPr>
          <w:rFonts w:hint="eastAsia" w:ascii="仿宋_GB2312" w:eastAsia="仿宋_GB2312"/>
          <w:color w:val="auto"/>
          <w:sz w:val="32"/>
          <w:szCs w:val="32"/>
          <w:lang w:val="en-US" w:eastAsia="zh-CN"/>
        </w:rPr>
        <w:t>019年8月28日发布招标公告（项目编号为BWZB2019-08N05）。2019年9月18号河北汇景广告传媒股份有限公司中标，项目完成时间为2019年10月13日之前。</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3"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b/>
          <w:bCs/>
          <w:sz w:val="32"/>
          <w:szCs w:val="32"/>
          <w:lang w:val="en-US" w:eastAsia="zh-CN"/>
        </w:rPr>
        <w:t>2、项目主要实施内容：</w:t>
      </w:r>
      <w:r>
        <w:rPr>
          <w:rFonts w:hint="eastAsia" w:ascii="仿宋_GB2312" w:eastAsia="仿宋_GB2312"/>
          <w:sz w:val="32"/>
          <w:szCs w:val="32"/>
          <w:lang w:val="en-US" w:eastAsia="zh-CN"/>
        </w:rPr>
        <w:t>该项目建设内容主要有四大部分：一是指示标识。主要为标准国省道导视标识。二是文化旅游导向标识。主要包括标志性旅游导向标识、绿道导视总导览图、绿道导视指示牌、绿道导视出入口牌、绿道导视提示牌（花草牌）、沿线驿站导视牌。三是文化景观。主要是设计创作以石家庄独特的旅游资源和历史文化为题材，通过艺术化的展现形式，展现出石家庄“红绿古新”丰富多彩的旅游资源和文化，讲好石家庄故事。四是智慧化导游导览。其中硬件部分包括信息公告屏设备、车流量监测设备、车流量监测设备太阳能供电系统、环境气象监测设备、视频监控设备、视频直播设备太阳能供电系统、视频综合平台服务器、视频综合平台、4G物联网流量卡。软件部分包括旅游云数据中心、手机应用平台、动态数据采集系统、多媒体查询系统、设备综合管理平台。</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default" w:ascii="仿宋_GB2312" w:eastAsia="仿宋_GB2312"/>
          <w:sz w:val="32"/>
          <w:szCs w:val="32"/>
          <w:lang w:val="en-US" w:eastAsia="zh-CN"/>
        </w:rPr>
      </w:pPr>
      <w:r>
        <w:rPr>
          <w:rFonts w:hint="eastAsia" w:ascii="仿宋_GB2312" w:eastAsia="仿宋_GB2312"/>
          <w:sz w:val="32"/>
          <w:szCs w:val="32"/>
          <w:lang w:val="en-US" w:eastAsia="zh-CN"/>
        </w:rPr>
        <w:t>指示标识、文化旅游导向标识、文化景观等部分建设范围为滹沱河生态走廊沿线（正定段、灵寿段、平山段）。</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3" w:firstLineChars="200"/>
        <w:jc w:val="both"/>
        <w:textAlignment w:val="auto"/>
        <w:outlineLvl w:val="9"/>
        <w:rPr>
          <w:rFonts w:hint="default" w:ascii="仿宋_GB2312" w:eastAsia="仿宋_GB2312"/>
          <w:sz w:val="32"/>
          <w:szCs w:val="32"/>
          <w:lang w:val="en-US" w:eastAsia="zh-CN"/>
        </w:rPr>
      </w:pPr>
      <w:r>
        <w:rPr>
          <w:rFonts w:hint="eastAsia" w:ascii="仿宋_GB2312" w:eastAsia="仿宋_GB2312"/>
          <w:b/>
          <w:bCs/>
          <w:sz w:val="32"/>
          <w:szCs w:val="32"/>
          <w:lang w:val="en-US" w:eastAsia="zh-CN"/>
        </w:rPr>
        <w:t>3、项目资金数量：</w:t>
      </w:r>
      <w:r>
        <w:rPr>
          <w:rFonts w:hint="eastAsia" w:ascii="仿宋_GB2312" w:eastAsia="仿宋_GB2312"/>
          <w:sz w:val="32"/>
          <w:szCs w:val="32"/>
          <w:lang w:val="en-US" w:eastAsia="zh-CN"/>
        </w:rPr>
        <w:t>该项目</w:t>
      </w:r>
      <w:r>
        <w:rPr>
          <w:rFonts w:hint="eastAsia" w:ascii="仿宋_GB2312" w:eastAsia="仿宋_GB2312"/>
          <w:color w:val="auto"/>
          <w:sz w:val="32"/>
          <w:szCs w:val="32"/>
          <w:lang w:val="en-US" w:eastAsia="zh-CN"/>
        </w:rPr>
        <w:t>中标金额30898440元，资金来源为</w:t>
      </w:r>
      <w:r>
        <w:rPr>
          <w:rFonts w:hint="eastAsia" w:ascii="仿宋_GB2312" w:eastAsia="仿宋_GB2312"/>
          <w:sz w:val="32"/>
          <w:szCs w:val="32"/>
          <w:lang w:val="en-US" w:eastAsia="zh-CN"/>
        </w:rPr>
        <w:t>财政性资金。</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3" w:firstLineChars="200"/>
        <w:jc w:val="both"/>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3" w:firstLineChars="200"/>
        <w:jc w:val="both"/>
        <w:textAlignment w:val="auto"/>
        <w:outlineLvl w:val="9"/>
        <w:rPr>
          <w:rFonts w:hint="eastAsia" w:ascii="仿宋_GB2312" w:eastAsia="仿宋_GB2312"/>
          <w:color w:val="auto"/>
          <w:sz w:val="32"/>
          <w:szCs w:val="32"/>
          <w:lang w:val="en-US" w:eastAsia="zh-CN"/>
        </w:rPr>
      </w:pPr>
      <w:r>
        <w:rPr>
          <w:rFonts w:hint="eastAsia" w:ascii="仿宋_GB2312" w:eastAsia="仿宋_GB2312"/>
          <w:b/>
          <w:bCs/>
          <w:sz w:val="32"/>
          <w:szCs w:val="32"/>
          <w:lang w:val="en-US" w:eastAsia="zh-CN"/>
        </w:rPr>
        <w:t>一是指示标识。</w:t>
      </w:r>
      <w:r>
        <w:rPr>
          <w:rFonts w:hint="eastAsia" w:ascii="仿宋_GB2312" w:eastAsia="仿宋_GB2312"/>
          <w:color w:val="auto"/>
          <w:sz w:val="32"/>
          <w:szCs w:val="32"/>
          <w:lang w:val="en-US" w:eastAsia="zh-CN"/>
        </w:rPr>
        <w:t>标准国省道导视中的交通标志要求设置醒目、清晰、明亮。旅游区标志要求设置在需要指示旅游景点方向、距离的路段和交叉口附近，颜色为棕色底、白色字符图案，形状为长方形和正方形。文化旅游导向标识中的标志性旅游导向标识，要求以红色文化展示为主，结合主题性和故事性，对“滹沱河生态走廊”的品牌传播有推动作用，形象展示作用，同时，指向信息能方便游客到达景区，这些提示信息夜晚也能发光，全天候适用。牌面上隐藏安装智慧探头，满足智慧化</w:t>
      </w:r>
      <w:bookmarkStart w:id="0" w:name="_GoBack"/>
      <w:bookmarkEnd w:id="0"/>
      <w:r>
        <w:rPr>
          <w:rFonts w:hint="eastAsia" w:ascii="仿宋_GB2312" w:eastAsia="仿宋_GB2312"/>
          <w:color w:val="auto"/>
          <w:sz w:val="32"/>
          <w:szCs w:val="32"/>
          <w:lang w:val="en-US" w:eastAsia="zh-CN"/>
        </w:rPr>
        <w:t>旅游的信息采集。</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3" w:firstLineChars="200"/>
        <w:jc w:val="both"/>
        <w:textAlignment w:val="auto"/>
        <w:outlineLvl w:val="9"/>
        <w:rPr>
          <w:rFonts w:hint="eastAsia" w:ascii="仿宋_GB2312" w:eastAsia="仿宋_GB2312"/>
          <w:color w:val="auto"/>
          <w:sz w:val="32"/>
          <w:szCs w:val="32"/>
          <w:lang w:val="en-US" w:eastAsia="zh-CN"/>
        </w:rPr>
      </w:pPr>
      <w:r>
        <w:rPr>
          <w:rFonts w:hint="eastAsia" w:ascii="仿宋_GB2312" w:eastAsia="仿宋_GB2312"/>
          <w:b/>
          <w:bCs/>
          <w:sz w:val="32"/>
          <w:szCs w:val="32"/>
          <w:lang w:val="en-US" w:eastAsia="zh-CN"/>
        </w:rPr>
        <w:t>二是文化景观。</w:t>
      </w:r>
      <w:r>
        <w:rPr>
          <w:rFonts w:hint="eastAsia" w:ascii="仿宋_GB2312" w:eastAsia="仿宋_GB2312"/>
          <w:color w:val="auto"/>
          <w:sz w:val="32"/>
          <w:szCs w:val="32"/>
          <w:lang w:val="en-US" w:eastAsia="zh-CN"/>
        </w:rPr>
        <w:t>滹沱河生态走廊沿途包含了红色革命、太行风景、古中山遗址、民俗宗教等四个主要色彩体系，文化景观将根据地域文化放置在滹沱河畔、美丽乡村、驿站等周边，根据不同区域的文化进行相应设计，以红、绿、古、新为主要核心理念，以古城新月、记忆剪影、圆梦等十五个景观主题节点贯穿整条风景画廊。具体为：石家庄会展中心广场设置《蓬勃文旅》、G107与河北大道交口东北角绿化带内设置《跃动乒乓》、在张石高速连接线大桥以东道路中心设置《脱贫致富》、大孙村驿站入口绿化带内设置《山水禅林》、滹沱河生态走廊正定段设置《古城新月》、省道232与滹沱河交口设置《记忆剪影》、在灵寿K1驿站西侧设置《生态走廊》、灵寿K11驿站对面绿化带内设置《轨迹》、灵寿县城西村南K16+855处设置《古国之韵》、灵寿K3驿站东侧设置《太行古桥》、平山中山古城遗址西侧花海内设置《中山文酿》、西柏坡纪念馆入口南侧设置《希望之窗》、西柏坡纪念馆游客中心西侧设置《献礼》、平山宝平驿站绿化带内设置《初心不忘》、西柏坡高速出口停车场设置《赶考行》。总而言之，文化景观主题就是以“文景双线交织，四核十五点现典故”为主旨，绘制一幅美丽生态的百里画卷。</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3" w:firstLineChars="200"/>
        <w:jc w:val="both"/>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三是智慧化导游导览系统</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关于硬件部分</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信息公告屏设备参数要求：全彩，屏幕净尺寸不低于宽3m*高2*，点间距P10，纯点阵屏，配件3/4G传输音柱，屏体包含接收卡及监控卡。用于平时路况、天气、旅游公告等信息对公众的展示，引导车辆。在重大节日或重大时间时，作为应急信息发布展示载体。其相关设备包括：车流量监测设备、车流量监测设备太阳能供电系统、环境气象监测设备、视频监控设备、视频直播设备太阳能供电系统、视频综合平台服务器、视频综合平台、4G物联网流量卡等按设计要求配置。</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关于软件部分</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旅游云数据中心：构建石家庄全域旅游云数据中心，制定统一的数据采集标准，进行数据采集、编目、分级，实现旅游数据分类归档、授权运用、信息数据交换和共享；建立“旅游云”数据和技术模型，利用数据挖掘、数据分析技术，构建科学化、智能化、人性化的数据分析系统，提升旅游管理服务水平。</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手机应用平台：手机应用平台前端模块要求包括智慧导览导购服务、智慧导游服务、虚拟体验服务、公共资源服务、智慧导航服务、互动分享评价服务以及旅游投诉服务等。在游前，旅客可通过VR看石家庄各景区、全景直播，攻略等平台功能提前熟悉景点情况，提前智能规划好旅游线路。在游中，旅客可通过导航、实时车流、气象、环境、景区人流量查询，进行智能研判，优化游览线路，提前预定门票、酒店等。在游后，游客可以享受评价、特产购买、旅游投诉等服务。</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动态数据采集系统：该系统作为数据中心整合数据的一个有力的支撑体系，通过这个平台实现数据的融合。建设内容包括网络数据采集、数据填报、数据处理、数据上报、数据认证、数据融合。平台分为PC端和移动端。</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多媒体查询系统：要求该系统集旅游查询、形象展示等功能于一体，使游客可以通过多媒体查询系统更方便快捷地查询了解全市旅游概况、旅游精品线路、旅游景区点分布、周边景点、景区介绍、旅游须知、交通路线、实时交通，以及周边特色美食、娱乐住宿等基础信息。</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综合管理平台：对滹沱河生态走廊中安装的各类设备进行统一接入管理，能够掌握设备的运行情况、数据情况，并能够与手机应用平台进行数据互通，面向游客提供各类设备的监测数据。</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（一）自评的组织工作</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0"/>
        <w:jc w:val="both"/>
        <w:textAlignment w:val="auto"/>
        <w:outlineLvl w:val="9"/>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_GB2312" w:eastAsia="仿宋_GB2312"/>
          <w:sz w:val="32"/>
          <w:szCs w:val="32"/>
          <w:lang w:val="en-US" w:eastAsia="zh-CN"/>
        </w:rPr>
        <w:t>针对该项目通过电话访问、投诉系统反馈、现场实际勘察收集评价资料，通过收集资料聘请专家进行评价。</w:t>
      </w:r>
    </w:p>
    <w:p>
      <w:pPr>
        <w:keepNext w:val="0"/>
        <w:keepLines w:val="0"/>
        <w:pageBreakBefore w:val="0"/>
        <w:widowControl w:val="0"/>
        <w:numPr>
          <w:ilvl w:val="0"/>
          <w:numId w:val="1"/>
        </w:numPr>
        <w:kinsoku/>
        <w:wordWrap/>
        <w:overflowPunct/>
        <w:topLinePunct w:val="0"/>
        <w:autoSpaceDE/>
        <w:autoSpaceDN/>
        <w:bidi w:val="0"/>
        <w:spacing w:line="580" w:lineRule="exact"/>
        <w:ind w:left="642" w:leftChars="0" w:right="0" w:rightChars="0" w:firstLine="0" w:firstLineChars="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该</w:t>
      </w:r>
      <w:r>
        <w:rPr>
          <w:rFonts w:hint="eastAsia" w:ascii="仿宋_GB2312" w:eastAsia="仿宋_GB2312"/>
          <w:sz w:val="32"/>
          <w:szCs w:val="32"/>
        </w:rPr>
        <w:t>项目</w:t>
      </w:r>
      <w:r>
        <w:rPr>
          <w:rFonts w:hint="eastAsia" w:ascii="仿宋_GB2312" w:eastAsia="仿宋_GB2312"/>
          <w:sz w:val="32"/>
          <w:szCs w:val="32"/>
          <w:lang w:val="en-US" w:eastAsia="zh-CN"/>
        </w:rPr>
        <w:t>严格按照国家相关法律、法规进行验收；通过在施工中、施工后到现场实际考察和现场收集资料，并要求施工单位提供该项目的相关资料进行验收和评估。2019年12月7日，石家庄市文化广电和旅游局组织专家组，对该项目进行了验收。</w:t>
      </w:r>
      <w:r>
        <w:rPr>
          <w:rFonts w:hint="eastAsia" w:ascii="仿宋_GB2312" w:eastAsia="仿宋_GB2312"/>
          <w:color w:val="auto"/>
          <w:sz w:val="32"/>
          <w:szCs w:val="32"/>
          <w:lang w:val="en-US" w:eastAsia="zh-CN"/>
        </w:rPr>
        <w:t>风景画廊沿途十五个景观主题</w:t>
      </w:r>
      <w:r>
        <w:rPr>
          <w:rFonts w:hint="eastAsia" w:ascii="仿宋_GB2312" w:eastAsia="仿宋_GB2312"/>
          <w:sz w:val="32"/>
          <w:szCs w:val="32"/>
          <w:lang w:val="en-US" w:eastAsia="zh-CN"/>
        </w:rPr>
        <w:t>为必查内容，沿途指示标识为随机抽检内容，最后在河北康辉旅游集团对智慧化导游导览软硬件系统进行了验收。</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jc w:val="both"/>
        <w:textAlignment w:val="auto"/>
        <w:outlineLvl w:val="9"/>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eastAsia="仿宋_GB2312"/>
          <w:b w:val="0"/>
          <w:bCs w:val="0"/>
          <w:color w:val="auto"/>
          <w:sz w:val="32"/>
          <w:szCs w:val="32"/>
          <w:lang w:val="en-US" w:eastAsia="zh-CN"/>
        </w:rPr>
      </w:pPr>
      <w:r>
        <w:rPr>
          <w:rFonts w:hint="eastAsia" w:ascii="仿宋_GB2312" w:eastAsia="仿宋_GB2312"/>
          <w:b w:val="0"/>
          <w:bCs w:val="0"/>
          <w:color w:val="auto"/>
          <w:sz w:val="32"/>
          <w:szCs w:val="32"/>
          <w:lang w:val="en-US" w:eastAsia="zh-CN"/>
        </w:rPr>
        <w:t>该项目的自评工作，一级指标权重设置为：产出指标40分，预算执行率指标10分，效益指标40分，满意度指标10分，总分合计100分。其中产出指标项40分，包括：数量指标10分（标准景区指示标识141座）；质量指标20分（根据整体项目定位，规划符合合理需求，设计突出文化特色，材料使用生态环保，设备满足实用功能，达到国家法律法规要求的标准，全部为合格产品）；时效指标10分（2019年10月中旬完成）。预算执行率指标10分（主要考察按照合同约定支付资金情况）。</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eastAsia="仿宋_GB2312"/>
          <w:b w:val="0"/>
          <w:bCs w:val="0"/>
          <w:color w:val="auto"/>
          <w:sz w:val="32"/>
          <w:szCs w:val="32"/>
          <w:lang w:val="en-US" w:eastAsia="zh-CN"/>
        </w:rPr>
      </w:pP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color w:val="auto"/>
          <w:sz w:val="32"/>
          <w:szCs w:val="32"/>
          <w:lang w:val="en-US" w:eastAsia="zh-CN"/>
        </w:rPr>
        <w:t>效益指标项40分，包括：社会效益指标10分（完善旅游基础设施和公共服务，着力提升智慧化高品质旅游管理和服务水平，满足人民日益增长的对美好生活的需求，同时促进文化、旅游与农业、工业、健康、会展等相关产业融合发展，带动脱贫致富，改善服务民生）；经济效益指标10分（引导人民群众对旅游的热情，提升游览品质，让更多人走进景区、走进古城，带动旅游市场的繁荣，提高旅游人次，实现全年旅游业总收入增长21%以上的目标）；生态效益指标20分（传承红色基因，优化生态环境，打造红色旅游和生态旅游融合、高质量发展的旅游目的地，进一步推动河北旅游创新、融合、绿色、高质量发展）。满意度指标10分，包括：电话访问5分、游客投诉情况5分。</w:t>
      </w:r>
    </w:p>
    <w:p>
      <w:pPr>
        <w:keepNext w:val="0"/>
        <w:keepLines w:val="0"/>
        <w:pageBreakBefore w:val="0"/>
        <w:widowControl w:val="0"/>
        <w:kinsoku/>
        <w:wordWrap/>
        <w:overflowPunct/>
        <w:topLinePunct w:val="0"/>
        <w:autoSpaceDE/>
        <w:autoSpaceDN/>
        <w:bidi w:val="0"/>
        <w:spacing w:line="580" w:lineRule="exact"/>
        <w:ind w:left="0" w:leftChars="0" w:right="0" w:rightChars="0"/>
        <w:jc w:val="both"/>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numPr>
          <w:ilvl w:val="0"/>
          <w:numId w:val="2"/>
        </w:numPr>
        <w:kinsoku/>
        <w:wordWrap/>
        <w:overflowPunct/>
        <w:topLinePunct w:val="0"/>
        <w:autoSpaceDE/>
        <w:autoSpaceDN/>
        <w:bidi w:val="0"/>
        <w:spacing w:line="580" w:lineRule="exact"/>
        <w:ind w:left="0" w:leftChars="0" w:right="0" w:rightChars="0" w:firstLine="643"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预算执行情况</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根据合同，预算执行率为96.8%，根据指标体系评分标准计算分值为9.6分。</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jc w:val="both"/>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项目按照合同约定于2019年10月13日前完工，时效指标100%；其中绿道导视项目部分，建设总导览图40个、指示牌80个、出入口牌80个、提示牌（花草牌）500个；文化景观15个；艺术化导视20处；生态走廊驿站导视（大孙村驿站、平安村驿站、南白店驿站、凤凰驿站、松阳驿站、卧龙驿站、中山驿站、滹沱驿站、柏坡驿站）9套；智慧化导览导视（信息公告屏设备6套、车流量监测设备20套、车流量监测设备太阳能供电系统20套、视频直播设备20套、视频直播设备太阳能供电系统20套、视频综合平台服务器2台、视频综合平台1套、环境监测设备6套、4G物联网流量卡46张）；智慧石家庄软件平台1套。</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sz w:val="32"/>
          <w:szCs w:val="32"/>
          <w:lang w:val="en-US" w:eastAsia="zh-CN"/>
        </w:rPr>
        <w:t>项目实际完成数量与合同约定数量相符，完成率100%；根据整体项目定位，规划符合合理需求，设计突出文化特色，材料使用生态环保，设施满足实用功能，达到国</w:t>
      </w:r>
      <w:r>
        <w:rPr>
          <w:rFonts w:hint="eastAsia" w:ascii="仿宋_GB2312" w:eastAsia="仿宋_GB2312"/>
          <w:b w:val="0"/>
          <w:bCs w:val="0"/>
          <w:sz w:val="32"/>
          <w:szCs w:val="32"/>
          <w:lang w:val="en-US" w:eastAsia="zh-CN"/>
        </w:rPr>
        <w:t>家法律法规要求的标准，全部为合格产品。根据指标体系评分标准计算分值为39分。</w:t>
      </w:r>
    </w:p>
    <w:p>
      <w:pPr>
        <w:keepNext w:val="0"/>
        <w:keepLines w:val="0"/>
        <w:pageBreakBefore w:val="0"/>
        <w:widowControl w:val="0"/>
        <w:kinsoku/>
        <w:wordWrap/>
        <w:overflowPunct/>
        <w:topLinePunct w:val="0"/>
        <w:autoSpaceDE/>
        <w:autoSpaceDN/>
        <w:bidi w:val="0"/>
        <w:spacing w:line="580" w:lineRule="exact"/>
        <w:ind w:left="0" w:leftChars="0" w:right="0" w:rightChars="0" w:firstLine="643"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从经济效益来说引导人民群众对旅游的热情，提升游览品质，让更多人走进景区，带动旅游市场的繁荣，提高旅游人次，实现旅游业收入的增长。从社会效益来说完善旅游基础设施和公共服务，着力提升智慧化高品质旅游管理和服务水平，满足人民日益增长的对美好生活的需求，同时促进文化、旅游与农业、工业、健康、会展等相关产业融合发展，带动脱贫致富，改善服务民生。从生态效益讲传承红色基因，优化生态环境，打造红色旅游和生态旅游融合、高质量发展的旅游目的地，进一步推动河北旅游创新、融合、绿色、高质量发展。根据指标体系评分标准计算分值为34分。</w:t>
      </w:r>
    </w:p>
    <w:p>
      <w:pPr>
        <w:keepNext w:val="0"/>
        <w:keepLines w:val="0"/>
        <w:pageBreakBefore w:val="0"/>
        <w:widowControl w:val="0"/>
        <w:kinsoku/>
        <w:wordWrap/>
        <w:overflowPunct/>
        <w:topLinePunct w:val="0"/>
        <w:autoSpaceDE/>
        <w:autoSpaceDN/>
        <w:bidi w:val="0"/>
        <w:spacing w:line="580" w:lineRule="exact"/>
        <w:ind w:left="0" w:leftChars="0" w:right="0" w:rightChars="0" w:firstLine="643"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仿宋_GB2312" w:eastAsia="仿宋_GB2312"/>
          <w:b w:val="0"/>
          <w:bCs w:val="0"/>
          <w:sz w:val="32"/>
          <w:szCs w:val="32"/>
          <w:lang w:val="en-US" w:eastAsia="zh-CN"/>
        </w:rPr>
        <w:t>对项目进行电话访问，调查游客投诉问题等方式表明社会公众和服务对象对该项目十分满意，根据指标体系评分标准计算分值为9.5分。</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专家组竣工验收结论：</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1、该项目提供的文档资料完整、规范，符合验收要求。</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2、该项目按照设计和规范完成了合同约定的建设内容。指示标识、导向标识、文化景观建设达到了设计效果；智慧化导游导览软硬件系统功能完善、运行稳定。</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综上所述，验收小组同意通过验收，质量合格。</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该项目综合自评为92.1分。</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3" w:firstLineChars="200"/>
        <w:jc w:val="both"/>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0" w:firstLineChars="200"/>
        <w:jc w:val="both"/>
        <w:textAlignment w:val="auto"/>
        <w:outlineLvl w:val="9"/>
        <w:rPr>
          <w:rFonts w:hint="default" w:ascii="仿宋_GB2312" w:eastAsia="仿宋_GB2312"/>
          <w:sz w:val="32"/>
          <w:szCs w:val="32"/>
          <w:lang w:val="en-US" w:eastAsia="zh-CN"/>
        </w:rPr>
      </w:pPr>
      <w:r>
        <w:rPr>
          <w:rFonts w:hint="eastAsia" w:ascii="仿宋_GB2312" w:eastAsia="仿宋_GB2312"/>
          <w:sz w:val="32"/>
          <w:szCs w:val="32"/>
          <w:lang w:val="en-US" w:eastAsia="zh-CN"/>
        </w:rPr>
        <w:t>一是滹沱河沿线标识标牌、文化景观涉及三个县区跨域比较大，对后续产权交接和后期维护问题比较难处理。二是“智游石家庄”智慧旅游系统信息采集设备和感知设备覆盖范围不大。</w:t>
      </w:r>
    </w:p>
    <w:p>
      <w:pPr>
        <w:keepNext w:val="0"/>
        <w:keepLines w:val="0"/>
        <w:pageBreakBefore w:val="0"/>
        <w:widowControl w:val="0"/>
        <w:numPr>
          <w:ilvl w:val="0"/>
          <w:numId w:val="2"/>
        </w:numPr>
        <w:kinsoku/>
        <w:wordWrap/>
        <w:overflowPunct/>
        <w:topLinePunct w:val="0"/>
        <w:autoSpaceDE/>
        <w:autoSpaceDN/>
        <w:bidi w:val="0"/>
        <w:spacing w:line="580" w:lineRule="exact"/>
        <w:ind w:left="0" w:leftChars="0" w:right="0" w:rightChars="0" w:firstLine="643" w:firstLineChars="200"/>
        <w:jc w:val="both"/>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80" w:lineRule="exact"/>
        <w:ind w:left="0" w:leftChars="0" w:right="0" w:rightChars="0" w:firstLine="643" w:firstLineChars="200"/>
        <w:jc w:val="both"/>
        <w:textAlignment w:val="auto"/>
        <w:outlineLvl w:val="9"/>
        <w:rPr>
          <w:rFonts w:hint="default" w:ascii="仿宋_GB2312" w:eastAsia="仿宋_GB2312"/>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仿宋_GB2312" w:eastAsia="仿宋_GB2312"/>
          <w:sz w:val="32"/>
          <w:szCs w:val="32"/>
          <w:lang w:val="en-US" w:eastAsia="zh-CN"/>
        </w:rPr>
        <w:t xml:space="preserve"> 一是对滹沱河沿线标识标牌、文化景观后续产权交接和维护问题，建议涉及的三个县市做区域划分处理，各县区负责自己的区域，做好后期的维护工作。二是“智游石家庄”智慧旅游系统，建议扩大硬件投入和摄像头接入数量，扩大信息采集量。</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w:t>
      </w:r>
    </w:p>
    <w:tbl>
      <w:tblPr>
        <w:tblStyle w:val="5"/>
        <w:tblW w:w="93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5"/>
        <w:gridCol w:w="1802"/>
        <w:gridCol w:w="3323"/>
        <w:gridCol w:w="31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80" w:type="dxa"/>
            <w:gridSpan w:val="4"/>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lang w:eastAsia="zh-CN"/>
              </w:rPr>
            </w:pPr>
            <w:r>
              <w:rPr>
                <w:rFonts w:hint="eastAsia" w:ascii="仿宋" w:hAnsi="仿宋" w:eastAsia="仿宋" w:cs="仿宋"/>
                <w:b w:val="0"/>
                <w:bCs w:val="0"/>
                <w:sz w:val="32"/>
                <w:szCs w:val="32"/>
                <w:vertAlign w:val="baseline"/>
                <w:lang w:eastAsia="zh-CN"/>
              </w:rPr>
              <w:t>评价工作组人员名单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lang w:val="en-US" w:eastAsia="zh-CN"/>
              </w:rPr>
            </w:pPr>
            <w:r>
              <w:rPr>
                <w:rFonts w:hint="eastAsia" w:ascii="仿宋" w:hAnsi="仿宋" w:eastAsia="仿宋" w:cs="仿宋"/>
                <w:b w:val="0"/>
                <w:bCs w:val="0"/>
                <w:sz w:val="32"/>
                <w:szCs w:val="32"/>
                <w:vertAlign w:val="baseline"/>
                <w:lang w:eastAsia="zh-CN"/>
              </w:rPr>
              <w:t>序号</w:t>
            </w:r>
          </w:p>
        </w:tc>
        <w:tc>
          <w:tcPr>
            <w:tcW w:w="1802"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vertAlign w:val="baseline"/>
                <w:lang w:eastAsia="zh-CN"/>
              </w:rPr>
              <w:t>姓名</w:t>
            </w:r>
          </w:p>
        </w:tc>
        <w:tc>
          <w:tcPr>
            <w:tcW w:w="3323"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vertAlign w:val="baseline"/>
                <w:lang w:eastAsia="zh-CN"/>
              </w:rPr>
              <w:t>单位</w:t>
            </w:r>
          </w:p>
        </w:tc>
        <w:tc>
          <w:tcPr>
            <w:tcW w:w="3160"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vertAlign w:val="baseline"/>
                <w:lang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lang w:val="en-US" w:eastAsia="zh-CN"/>
              </w:rPr>
            </w:pPr>
            <w:r>
              <w:rPr>
                <w:rFonts w:hint="eastAsia" w:ascii="仿宋" w:hAnsi="仿宋" w:eastAsia="仿宋" w:cs="仿宋"/>
                <w:b w:val="0"/>
                <w:bCs w:val="0"/>
                <w:sz w:val="32"/>
                <w:szCs w:val="32"/>
                <w:vertAlign w:val="baseline"/>
                <w:lang w:val="en-US" w:eastAsia="zh-CN"/>
              </w:rPr>
              <w:t>1</w:t>
            </w:r>
          </w:p>
        </w:tc>
        <w:tc>
          <w:tcPr>
            <w:tcW w:w="1802"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lang w:eastAsia="zh-CN"/>
              </w:rPr>
              <w:t>谢占凯</w:t>
            </w:r>
          </w:p>
        </w:tc>
        <w:tc>
          <w:tcPr>
            <w:tcW w:w="3323"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lang w:eastAsia="zh-CN"/>
              </w:rPr>
              <w:t>石家庄市文广旅局</w:t>
            </w:r>
          </w:p>
        </w:tc>
        <w:tc>
          <w:tcPr>
            <w:tcW w:w="3160"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lang w:eastAsia="zh-CN"/>
              </w:rPr>
              <w:t>副局长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lang w:val="en-US" w:eastAsia="zh-CN"/>
              </w:rPr>
            </w:pPr>
            <w:r>
              <w:rPr>
                <w:rFonts w:hint="eastAsia" w:ascii="仿宋" w:hAnsi="仿宋" w:eastAsia="仿宋" w:cs="仿宋"/>
                <w:b w:val="0"/>
                <w:bCs w:val="0"/>
                <w:sz w:val="32"/>
                <w:szCs w:val="32"/>
                <w:vertAlign w:val="baseline"/>
                <w:lang w:val="en-US" w:eastAsia="zh-CN"/>
              </w:rPr>
              <w:t>2</w:t>
            </w:r>
          </w:p>
        </w:tc>
        <w:tc>
          <w:tcPr>
            <w:tcW w:w="1802"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lang w:eastAsia="zh-CN"/>
              </w:rPr>
              <w:t>曹光智</w:t>
            </w:r>
          </w:p>
        </w:tc>
        <w:tc>
          <w:tcPr>
            <w:tcW w:w="3323"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lang w:eastAsia="zh-CN"/>
              </w:rPr>
              <w:t>石家庄市文广旅局</w:t>
            </w:r>
          </w:p>
        </w:tc>
        <w:tc>
          <w:tcPr>
            <w:tcW w:w="3160"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lang w:eastAsia="zh-CN"/>
              </w:rPr>
              <w:t>科技处处长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lang w:val="en-US" w:eastAsia="zh-CN"/>
              </w:rPr>
            </w:pPr>
            <w:r>
              <w:rPr>
                <w:rFonts w:hint="eastAsia" w:ascii="仿宋" w:hAnsi="仿宋" w:eastAsia="仿宋" w:cs="仿宋"/>
                <w:b w:val="0"/>
                <w:bCs w:val="0"/>
                <w:sz w:val="32"/>
                <w:szCs w:val="32"/>
                <w:vertAlign w:val="baseline"/>
                <w:lang w:val="en-US" w:eastAsia="zh-CN"/>
              </w:rPr>
              <w:t>3</w:t>
            </w:r>
          </w:p>
        </w:tc>
        <w:tc>
          <w:tcPr>
            <w:tcW w:w="1802"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lang w:eastAsia="zh-CN"/>
              </w:rPr>
              <w:t>王永虹</w:t>
            </w:r>
          </w:p>
        </w:tc>
        <w:tc>
          <w:tcPr>
            <w:tcW w:w="3323"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lang w:eastAsia="zh-CN"/>
              </w:rPr>
              <w:t>石家庄市文广旅局</w:t>
            </w:r>
          </w:p>
        </w:tc>
        <w:tc>
          <w:tcPr>
            <w:tcW w:w="3160"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rPr>
            </w:pPr>
            <w:r>
              <w:rPr>
                <w:rFonts w:hint="eastAsia" w:ascii="仿宋" w:hAnsi="仿宋" w:eastAsia="仿宋" w:cs="仿宋"/>
                <w:b w:val="0"/>
                <w:bCs w:val="0"/>
                <w:sz w:val="32"/>
                <w:szCs w:val="32"/>
                <w:lang w:eastAsia="zh-CN"/>
              </w:rPr>
              <w:t>规财处主任科员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vertAlign w:val="baseline"/>
                <w:lang w:val="en-US" w:eastAsia="zh-CN"/>
              </w:rPr>
            </w:pPr>
            <w:r>
              <w:rPr>
                <w:rFonts w:hint="eastAsia" w:ascii="仿宋" w:hAnsi="仿宋" w:eastAsia="仿宋" w:cs="仿宋"/>
                <w:b w:val="0"/>
                <w:bCs w:val="0"/>
                <w:sz w:val="32"/>
                <w:szCs w:val="32"/>
                <w:vertAlign w:val="baseline"/>
                <w:lang w:val="en-US" w:eastAsia="zh-CN"/>
              </w:rPr>
              <w:t>4</w:t>
            </w:r>
          </w:p>
        </w:tc>
        <w:tc>
          <w:tcPr>
            <w:tcW w:w="1802"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王吉伟</w:t>
            </w:r>
          </w:p>
        </w:tc>
        <w:tc>
          <w:tcPr>
            <w:tcW w:w="3323"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康旅集团项目部</w:t>
            </w:r>
          </w:p>
        </w:tc>
        <w:tc>
          <w:tcPr>
            <w:tcW w:w="3160" w:type="dxa"/>
            <w:vAlign w:val="top"/>
          </w:tcPr>
          <w:p>
            <w:pPr>
              <w:keepNext w:val="0"/>
              <w:keepLines w:val="0"/>
              <w:pageBreakBefore w:val="0"/>
              <w:widowControl w:val="0"/>
              <w:kinsoku/>
              <w:wordWrap/>
              <w:overflowPunct/>
              <w:topLinePunct w:val="0"/>
              <w:autoSpaceDE/>
              <w:autoSpaceDN/>
              <w:bidi w:val="0"/>
              <w:adjustRightInd w:val="0"/>
              <w:snapToGrid w:val="0"/>
              <w:spacing w:line="580" w:lineRule="exact"/>
              <w:ind w:right="0" w:rightChars="0"/>
              <w:jc w:val="center"/>
              <w:textAlignment w:val="auto"/>
              <w:outlineLvl w:val="9"/>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经理</w:t>
            </w:r>
          </w:p>
        </w:tc>
      </w:tr>
    </w:tbl>
    <w:tbl>
      <w:tblPr>
        <w:tblStyle w:val="4"/>
        <w:tblW w:w="100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20"/>
        <w:gridCol w:w="1080"/>
        <w:gridCol w:w="1080"/>
        <w:gridCol w:w="1240"/>
        <w:gridCol w:w="1420"/>
        <w:gridCol w:w="1080"/>
        <w:gridCol w:w="1120"/>
        <w:gridCol w:w="17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2" w:hRule="atLeast"/>
        </w:trPr>
        <w:tc>
          <w:tcPr>
            <w:tcW w:w="1000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default" w:ascii="方正小标宋_GBK" w:hAnsi="方正小标宋_GBK" w:eastAsia="方正小标宋_GBK" w:cs="方正小标宋_GBK"/>
                <w:i w:val="0"/>
                <w:color w:val="000000"/>
                <w:kern w:val="0"/>
                <w:sz w:val="40"/>
                <w:szCs w:val="40"/>
                <w:u w:val="none"/>
                <w:lang w:val="en-US" w:eastAsia="zh-CN" w:bidi="ar"/>
              </w:rPr>
            </w:pPr>
          </w:p>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0000"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3400" w:type="dxa"/>
            <w:gridSpan w:val="3"/>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石家庄市文化广电和旅游局</w:t>
            </w:r>
          </w:p>
        </w:tc>
        <w:tc>
          <w:tcPr>
            <w:tcW w:w="1420" w:type="dxa"/>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w:t>
            </w:r>
          </w:p>
        </w:tc>
        <w:tc>
          <w:tcPr>
            <w:tcW w:w="1080" w:type="dxa"/>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w:t>
            </w:r>
          </w:p>
        </w:tc>
        <w:tc>
          <w:tcPr>
            <w:tcW w:w="1120" w:type="dxa"/>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w:t>
            </w:r>
          </w:p>
        </w:tc>
        <w:tc>
          <w:tcPr>
            <w:tcW w:w="1760" w:type="dxa"/>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99" w:hRule="atLeast"/>
        </w:trPr>
        <w:tc>
          <w:tcPr>
            <w:tcW w:w="1220" w:type="dxa"/>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7"/>
                <w:lang w:val="en-US" w:eastAsia="zh-CN" w:bidi="ar"/>
              </w:rPr>
              <w:t>一、</w:t>
            </w:r>
            <w:r>
              <w:rPr>
                <w:rStyle w:val="8"/>
                <w:rFonts w:eastAsia="宋体"/>
                <w:lang w:val="en-US" w:eastAsia="zh-CN" w:bidi="ar"/>
              </w:rPr>
              <w:t> </w:t>
            </w:r>
            <w:r>
              <w:rPr>
                <w:rStyle w:val="7"/>
                <w:lang w:val="en-US" w:eastAsia="zh-CN" w:bidi="ar"/>
              </w:rPr>
              <w:t>基本情况</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滹沱河生态走廊指示标识，文化旅游导向标识，文化景观建设及智慧化导游导览建设项目</w:t>
            </w:r>
          </w:p>
        </w:tc>
        <w:tc>
          <w:tcPr>
            <w:tcW w:w="14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960" w:type="dxa"/>
            <w:gridSpan w:val="3"/>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石家庄市文化广电和旅游局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restar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20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3095</w:t>
            </w:r>
          </w:p>
        </w:tc>
        <w:tc>
          <w:tcPr>
            <w:tcW w:w="124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3089.844</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2997.1487</w:t>
            </w:r>
          </w:p>
        </w:tc>
        <w:tc>
          <w:tcPr>
            <w:tcW w:w="1760" w:type="dxa"/>
            <w:vMerge w:val="restar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3095</w:t>
            </w:r>
          </w:p>
        </w:tc>
        <w:tc>
          <w:tcPr>
            <w:tcW w:w="124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3089.844</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2997.1487</w:t>
            </w:r>
          </w:p>
        </w:tc>
        <w:tc>
          <w:tcPr>
            <w:tcW w:w="176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　</w:t>
            </w:r>
          </w:p>
        </w:tc>
        <w:tc>
          <w:tcPr>
            <w:tcW w:w="124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w:t>
            </w:r>
          </w:p>
        </w:tc>
        <w:tc>
          <w:tcPr>
            <w:tcW w:w="176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restar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0" w:type="dxa"/>
            <w:gridSpan w:val="3"/>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620" w:type="dxa"/>
            <w:gridSpan w:val="3"/>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0" w:type="dxa"/>
            <w:gridSpan w:val="3"/>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项目总目标预期年底前完成,第三季度实际完成50%，第四季度实际完成50%</w:t>
            </w:r>
          </w:p>
        </w:tc>
        <w:tc>
          <w:tcPr>
            <w:tcW w:w="3620" w:type="dxa"/>
            <w:gridSpan w:val="3"/>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阶段性（当年）的绩效目标：第三季度预期完成50%，第四季度预期完成50%</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restar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7"/>
                <w:lang w:val="en-US" w:eastAsia="zh-CN" w:bidi="ar"/>
              </w:rPr>
              <w:t>四、</w:t>
            </w:r>
            <w:r>
              <w:rPr>
                <w:rStyle w:val="8"/>
                <w:rFonts w:eastAsia="宋体"/>
                <w:lang w:val="en-US" w:eastAsia="zh-CN" w:bidi="ar"/>
              </w:rPr>
              <w:t> </w:t>
            </w:r>
            <w:r>
              <w:rPr>
                <w:rStyle w:val="7"/>
                <w:lang w:val="en-US" w:eastAsia="zh-CN" w:bidi="ar"/>
              </w:rPr>
              <w:t>年度绩效指标完成情况</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数量指标</w:t>
            </w:r>
          </w:p>
        </w:tc>
        <w:tc>
          <w:tcPr>
            <w:tcW w:w="26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"标准景区指示标识  141座</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99"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质量指标</w:t>
            </w:r>
          </w:p>
        </w:tc>
        <w:tc>
          <w:tcPr>
            <w:tcW w:w="26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根据整体项目定位，规划符合合理需求，设计突出文化特色，材料使用生态环保，设备满足实用功能，达到国家法律法规要求的标准，全部为合格产品。</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95%</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时效指标</w:t>
            </w:r>
          </w:p>
        </w:tc>
        <w:tc>
          <w:tcPr>
            <w:tcW w:w="26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2019年10月中旬完成</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预算执行率</w:t>
            </w:r>
          </w:p>
        </w:tc>
        <w:tc>
          <w:tcPr>
            <w:tcW w:w="26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按照合同约定支付资金</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100%</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96.8%</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39"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善旅游基础设施和公共服务，着力提升智慧化高品质旅游管理和服务水平，满足人民日益增长的对美好生活的需求，同时促进文化、旅游与农业、工业、健康、会展等相关产业融合发展，带动脱贫致富，改善服务民生</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39"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6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引导人民群众对旅游的热情，提升游览品质，让更多人走进景区、走进古城，带动旅游市场的繁荣，提高旅游人次，实现全年旅游业总收入增长21%以上的目标。</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2"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6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传承红色基因，优化生态环境，打造红色旅游和生态旅游融合、高质量发展的旅游目的地，进一步推动河北旅游创新、融合、绿色、高质量发展。</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85%</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18"/>
                <w:szCs w:val="18"/>
                <w:u w:val="none"/>
                <w:lang w:val="en-US" w:eastAsia="zh-CN" w:bidi="ar"/>
              </w:rPr>
              <w:t>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1080" w:type="dxa"/>
            <w:vMerge w:val="restar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电话访问</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60" w:type="dxa"/>
            <w:gridSpan w:val="2"/>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游客投诉情况</w:t>
            </w:r>
          </w:p>
        </w:tc>
        <w:tc>
          <w:tcPr>
            <w:tcW w:w="108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12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20" w:type="dxa"/>
            <w:vMerge w:val="continue"/>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020" w:type="dxa"/>
            <w:gridSpan w:val="6"/>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760"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022" w:hRule="atLeast"/>
        </w:trPr>
        <w:tc>
          <w:tcPr>
            <w:tcW w:w="1220" w:type="dxa"/>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8"/>
                <w:rFonts w:eastAsia="宋体"/>
                <w:lang w:val="en-US" w:eastAsia="zh-CN" w:bidi="ar"/>
              </w:rPr>
              <w:t> </w:t>
            </w:r>
            <w:r>
              <w:rPr>
                <w:rStyle w:val="7"/>
                <w:lang w:val="en-US" w:eastAsia="zh-CN" w:bidi="ar"/>
              </w:rPr>
              <w:t>存在问题、原因及下一步整改措施</w:t>
            </w:r>
          </w:p>
        </w:tc>
        <w:tc>
          <w:tcPr>
            <w:tcW w:w="8780" w:type="dxa"/>
            <w:gridSpan w:val="7"/>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滹沱河沿线标识标牌、文化景观存在的主要问题：涉及三个县区跨域比较大，对后续产权交接和后期维护问题比较难处理。针对涉及的三个县市做区域划分处理，各县区负责自己的区域，做好后期的维护工作。</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2、“ 智游石家庄”智慧旅游系统存在的问题主要是，信息采集设备和感知设备覆盖范围不大，建议扩大硬件投入和摄像头接入数量，扩大信息量。市局大数据硬件设施不全缺乏展示设施，扩大硬件投入，建立健全展示平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300"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填报人：曹光智</w:t>
            </w:r>
          </w:p>
        </w:tc>
        <w:tc>
          <w:tcPr>
            <w:tcW w:w="108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4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2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联系电话：</w:t>
            </w:r>
          </w:p>
        </w:tc>
        <w:tc>
          <w:tcPr>
            <w:tcW w:w="17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0311-81586062</w:t>
            </w:r>
          </w:p>
        </w:tc>
      </w:tr>
    </w:tbl>
    <w:p>
      <w:pPr>
        <w:keepNext w:val="0"/>
        <w:keepLines w:val="0"/>
        <w:pageBreakBefore w:val="0"/>
        <w:widowControl w:val="0"/>
        <w:numPr>
          <w:ilvl w:val="0"/>
          <w:numId w:val="0"/>
        </w:numPr>
        <w:kinsoku/>
        <w:wordWrap/>
        <w:overflowPunct/>
        <w:topLinePunct w:val="0"/>
        <w:autoSpaceDE/>
        <w:autoSpaceDN/>
        <w:bidi w:val="0"/>
        <w:spacing w:line="580" w:lineRule="exact"/>
        <w:ind w:leftChars="200" w:right="0" w:rightChars="0"/>
        <w:jc w:val="both"/>
        <w:textAlignment w:val="auto"/>
        <w:outlineLvl w:val="9"/>
        <w:rPr>
          <w:rFonts w:hint="default" w:ascii="仿宋_GB2312" w:eastAsia="仿宋_GB2312"/>
          <w:sz w:val="32"/>
          <w:szCs w:val="32"/>
          <w:lang w:val="en-US" w:eastAsia="zh-CN"/>
        </w:rPr>
      </w:pPr>
    </w:p>
    <w:sectPr>
      <w:headerReference r:id="rId3" w:type="default"/>
      <w:footerReference r:id="rId4" w:type="default"/>
      <w:pgSz w:w="11906" w:h="16838"/>
      <w:pgMar w:top="1701" w:right="1417" w:bottom="1417" w:left="141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Arial Unicode MS"/>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7A3243"/>
    <w:multiLevelType w:val="singleLevel"/>
    <w:tmpl w:val="0D7A3243"/>
    <w:lvl w:ilvl="0" w:tentative="0">
      <w:start w:val="2"/>
      <w:numFmt w:val="chineseCounting"/>
      <w:suff w:val="nothing"/>
      <w:lvlText w:val="（%1）"/>
      <w:lvlJc w:val="left"/>
      <w:pPr>
        <w:ind w:left="642" w:leftChars="0" w:firstLine="0" w:firstLineChars="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xM2FmZDBiYmMwMjk0YWQxM2E2OWM0NjFmMzVhMjYifQ=="/>
  </w:docVars>
  <w:rsids>
    <w:rsidRoot w:val="0EBD2122"/>
    <w:rsid w:val="01ED6CF2"/>
    <w:rsid w:val="02B43A28"/>
    <w:rsid w:val="04015B7A"/>
    <w:rsid w:val="05596A0F"/>
    <w:rsid w:val="05886D38"/>
    <w:rsid w:val="06C878AC"/>
    <w:rsid w:val="06E93FA1"/>
    <w:rsid w:val="07E24B55"/>
    <w:rsid w:val="099C0635"/>
    <w:rsid w:val="0BA974E9"/>
    <w:rsid w:val="0C410B01"/>
    <w:rsid w:val="0CEE6701"/>
    <w:rsid w:val="0D8E1EDF"/>
    <w:rsid w:val="0EB97A43"/>
    <w:rsid w:val="0EBD2122"/>
    <w:rsid w:val="10EC06F3"/>
    <w:rsid w:val="11383AFD"/>
    <w:rsid w:val="116F6F17"/>
    <w:rsid w:val="11B71E6A"/>
    <w:rsid w:val="12237EE3"/>
    <w:rsid w:val="123F3E84"/>
    <w:rsid w:val="13EF3021"/>
    <w:rsid w:val="151F64C6"/>
    <w:rsid w:val="176B525E"/>
    <w:rsid w:val="17BD3CCF"/>
    <w:rsid w:val="180D420E"/>
    <w:rsid w:val="193F0A53"/>
    <w:rsid w:val="1A6722A3"/>
    <w:rsid w:val="1AAF0063"/>
    <w:rsid w:val="1AD611BF"/>
    <w:rsid w:val="1B642CFA"/>
    <w:rsid w:val="1BE140DE"/>
    <w:rsid w:val="1F267B92"/>
    <w:rsid w:val="20A05A0F"/>
    <w:rsid w:val="21F35FAC"/>
    <w:rsid w:val="23ED102A"/>
    <w:rsid w:val="248C197D"/>
    <w:rsid w:val="24FB5624"/>
    <w:rsid w:val="250160A4"/>
    <w:rsid w:val="252959AF"/>
    <w:rsid w:val="277A6671"/>
    <w:rsid w:val="28BC06C2"/>
    <w:rsid w:val="28FB635D"/>
    <w:rsid w:val="29B000E9"/>
    <w:rsid w:val="2C2471C5"/>
    <w:rsid w:val="2D1016B7"/>
    <w:rsid w:val="2E824066"/>
    <w:rsid w:val="2F313FBF"/>
    <w:rsid w:val="31E61241"/>
    <w:rsid w:val="32224EF0"/>
    <w:rsid w:val="328209E9"/>
    <w:rsid w:val="32D37892"/>
    <w:rsid w:val="33070779"/>
    <w:rsid w:val="331313BB"/>
    <w:rsid w:val="33660AC6"/>
    <w:rsid w:val="33EB6CFF"/>
    <w:rsid w:val="34A153F2"/>
    <w:rsid w:val="34EE44D8"/>
    <w:rsid w:val="35264044"/>
    <w:rsid w:val="36243626"/>
    <w:rsid w:val="367124D8"/>
    <w:rsid w:val="37950570"/>
    <w:rsid w:val="37A52F10"/>
    <w:rsid w:val="37C61FAC"/>
    <w:rsid w:val="38A811D3"/>
    <w:rsid w:val="39943645"/>
    <w:rsid w:val="3A0324B9"/>
    <w:rsid w:val="3ABE0FC1"/>
    <w:rsid w:val="3AEA5E5E"/>
    <w:rsid w:val="3B452854"/>
    <w:rsid w:val="3B625C0A"/>
    <w:rsid w:val="3C5D113E"/>
    <w:rsid w:val="3CEE1963"/>
    <w:rsid w:val="3EEE2F35"/>
    <w:rsid w:val="40FC5444"/>
    <w:rsid w:val="45221329"/>
    <w:rsid w:val="45D26BC2"/>
    <w:rsid w:val="46592950"/>
    <w:rsid w:val="47B44F9E"/>
    <w:rsid w:val="494D1FF6"/>
    <w:rsid w:val="4ADD07E0"/>
    <w:rsid w:val="4BC41714"/>
    <w:rsid w:val="4DAB38AF"/>
    <w:rsid w:val="512260B4"/>
    <w:rsid w:val="52717F7B"/>
    <w:rsid w:val="546D2C10"/>
    <w:rsid w:val="551760BF"/>
    <w:rsid w:val="551B622D"/>
    <w:rsid w:val="553E54E7"/>
    <w:rsid w:val="554077AD"/>
    <w:rsid w:val="557E4B86"/>
    <w:rsid w:val="567D1A8A"/>
    <w:rsid w:val="59B676C5"/>
    <w:rsid w:val="5AEE7545"/>
    <w:rsid w:val="5DF3358D"/>
    <w:rsid w:val="5E373886"/>
    <w:rsid w:val="60C62607"/>
    <w:rsid w:val="61441D93"/>
    <w:rsid w:val="6520796F"/>
    <w:rsid w:val="65A13ED0"/>
    <w:rsid w:val="6618723B"/>
    <w:rsid w:val="66AF0CE5"/>
    <w:rsid w:val="66FF7E2F"/>
    <w:rsid w:val="68C913F7"/>
    <w:rsid w:val="69374F10"/>
    <w:rsid w:val="697A391C"/>
    <w:rsid w:val="69A2028E"/>
    <w:rsid w:val="6C854A0E"/>
    <w:rsid w:val="6E5B14A6"/>
    <w:rsid w:val="706C4E3A"/>
    <w:rsid w:val="72435747"/>
    <w:rsid w:val="727D012E"/>
    <w:rsid w:val="72DA3CA0"/>
    <w:rsid w:val="73D62501"/>
    <w:rsid w:val="745D706A"/>
    <w:rsid w:val="75011EAB"/>
    <w:rsid w:val="75CE6351"/>
    <w:rsid w:val="76304E4B"/>
    <w:rsid w:val="78AD4FD0"/>
    <w:rsid w:val="7B1F54DA"/>
    <w:rsid w:val="7BB51E06"/>
    <w:rsid w:val="7BC269FA"/>
    <w:rsid w:val="7C387F7C"/>
    <w:rsid w:val="7CF529AF"/>
    <w:rsid w:val="7D0A16DA"/>
    <w:rsid w:val="7D9A2EFC"/>
    <w:rsid w:val="7D9E0C71"/>
    <w:rsid w:val="7F196D93"/>
    <w:rsid w:val="7FB7510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51"/>
    <w:basedOn w:val="6"/>
    <w:uiPriority w:val="0"/>
    <w:rPr>
      <w:rFonts w:hint="eastAsia" w:ascii="宋体" w:hAnsi="宋体" w:eastAsia="宋体" w:cs="宋体"/>
      <w:color w:val="000000"/>
      <w:sz w:val="16"/>
      <w:szCs w:val="16"/>
      <w:u w:val="none"/>
    </w:rPr>
  </w:style>
  <w:style w:type="character" w:customStyle="1" w:styleId="8">
    <w:name w:val="font61"/>
    <w:basedOn w:val="6"/>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5328</Words>
  <Characters>5598</Characters>
  <Lines>0</Lines>
  <Paragraphs>0</Paragraphs>
  <TotalTime>3</TotalTime>
  <ScaleCrop>false</ScaleCrop>
  <LinksUpToDate>false</LinksUpToDate>
  <CharactersWithSpaces>5632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cp:lastModifiedBy>
  <cp:lastPrinted>2020-05-21T04:49:00Z</cp:lastPrinted>
  <dcterms:modified xsi:type="dcterms:W3CDTF">2023-05-31T02:46:19Z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CC85387A3AC740FA8E9F4FD60FAFECCE_12</vt:lpwstr>
  </property>
</Properties>
</file>