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cs="宋体"/>
          <w:b/>
          <w:bCs/>
          <w:color w:val="000000" w:themeColor="text1"/>
          <w:sz w:val="44"/>
          <w:szCs w:val="44"/>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t>石家庄市地下综合管廊（塔北路段）工程</w:t>
      </w:r>
    </w:p>
    <w:p>
      <w:pPr>
        <w:spacing w:line="360" w:lineRule="auto"/>
        <w:jc w:val="center"/>
        <w:rPr>
          <w:rFonts w:ascii="宋体" w:hAnsi="宋体" w:cs="宋体"/>
          <w:b/>
          <w:bCs/>
          <w:color w:val="000000" w:themeColor="text1"/>
          <w:sz w:val="44"/>
          <w:szCs w:val="44"/>
          <w:highlight w:val="none"/>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t>PPP项目</w:t>
      </w:r>
      <w:r>
        <w:rPr>
          <w:rFonts w:hint="eastAsia" w:ascii="宋体" w:hAnsi="宋体" w:cs="宋体"/>
          <w:b/>
          <w:bCs/>
          <w:color w:val="000000" w:themeColor="text1"/>
          <w:sz w:val="44"/>
          <w:szCs w:val="44"/>
          <w:highlight w:val="none"/>
          <w14:textFill>
            <w14:solidFill>
              <w14:schemeClr w14:val="tx1"/>
            </w14:solidFill>
          </w14:textFill>
        </w:rPr>
        <w:t>绩效评价报告</w:t>
      </w:r>
    </w:p>
    <w:p>
      <w:pPr>
        <w:spacing w:line="360" w:lineRule="auto"/>
        <w:jc w:val="center"/>
        <w:rPr>
          <w:rFonts w:ascii="华文楷体" w:eastAsia="华文楷体"/>
          <w:color w:val="000000" w:themeColor="text1"/>
          <w:sz w:val="32"/>
          <w:szCs w:val="32"/>
          <w:highlight w:val="none"/>
          <w14:textFill>
            <w14:solidFill>
              <w14:schemeClr w14:val="tx1"/>
            </w14:solidFill>
          </w14:textFill>
        </w:rPr>
      </w:pP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根据《石家庄市财政支出绩效评价办法》（石财绩</w:t>
      </w:r>
      <w:r>
        <w:rPr>
          <w:rFonts w:hint="eastAsia" w:ascii="仿宋_GB2312" w:hAnsi="仿宋_GB2312" w:eastAsia="仿宋_GB2312" w:cs="仿宋_GB2312"/>
          <w:color w:val="000000" w:themeColor="text1"/>
          <w:sz w:val="32"/>
          <w:szCs w:val="40"/>
          <w:highlight w:val="none"/>
          <w14:textFill>
            <w14:solidFill>
              <w14:schemeClr w14:val="tx1"/>
            </w14:solidFill>
          </w14:textFill>
        </w:rPr>
        <w:t>〔2013〕</w:t>
      </w:r>
      <w:r>
        <w:rPr>
          <w:rFonts w:hint="eastAsia" w:ascii="仿宋_GB2312" w:eastAsia="仿宋_GB2312"/>
          <w:color w:val="000000" w:themeColor="text1"/>
          <w:sz w:val="32"/>
          <w:szCs w:val="32"/>
          <w:highlight w:val="none"/>
          <w14:textFill>
            <w14:solidFill>
              <w14:schemeClr w14:val="tx1"/>
            </w14:solidFill>
          </w14:textFill>
        </w:rPr>
        <w:t>2号），遵循“科学性、规范性、客观性和公正性”的原则，对石家庄市地下综合管廊（塔北路段）工程PPP项目实施了绩效评价，形成本评价报告。</w:t>
      </w:r>
    </w:p>
    <w:p>
      <w:pPr>
        <w:keepNext w:val="0"/>
        <w:keepLines w:val="0"/>
        <w:pageBreakBefore w:val="0"/>
        <w:kinsoku/>
        <w:wordWrap/>
        <w:overflowPunct/>
        <w:topLinePunct w:val="0"/>
        <w:autoSpaceDE/>
        <w:autoSpaceDN/>
        <w:bidi w:val="0"/>
        <w:adjustRightInd w:val="0"/>
        <w:snapToGrid w:val="0"/>
        <w:spacing w:line="620" w:lineRule="exact"/>
        <w:textAlignment w:val="auto"/>
        <w:rPr>
          <w:rFonts w:ascii="黑体" w:eastAsia="黑体"/>
          <w:b/>
          <w:bCs/>
          <w:color w:val="000000" w:themeColor="text1"/>
          <w:sz w:val="32"/>
          <w:szCs w:val="36"/>
          <w:highlight w:val="none"/>
          <w14:textFill>
            <w14:solidFill>
              <w14:schemeClr w14:val="tx1"/>
            </w14:solidFill>
          </w14:textFill>
        </w:rPr>
      </w:pPr>
      <w:r>
        <w:rPr>
          <w:rFonts w:hint="eastAsia" w:ascii="黑体" w:eastAsia="黑体"/>
          <w:color w:val="000000" w:themeColor="text1"/>
          <w:sz w:val="32"/>
          <w:szCs w:val="32"/>
          <w:highlight w:val="none"/>
          <w14:textFill>
            <w14:solidFill>
              <w14:schemeClr w14:val="tx1"/>
            </w14:solidFill>
          </w14:textFill>
        </w:rPr>
        <w:t>一、项目</w:t>
      </w:r>
      <w:r>
        <w:rPr>
          <w:rFonts w:hint="eastAsia" w:ascii="黑体" w:eastAsia="黑体"/>
          <w:color w:val="000000" w:themeColor="text1"/>
          <w:sz w:val="32"/>
          <w:szCs w:val="36"/>
          <w:highlight w:val="none"/>
          <w14:textFill>
            <w14:solidFill>
              <w14:schemeClr w14:val="tx1"/>
            </w14:solidFill>
          </w14:textFill>
        </w:rPr>
        <w:t>基本情况</w:t>
      </w:r>
    </w:p>
    <w:p>
      <w:pPr>
        <w:keepNext w:val="0"/>
        <w:keepLines w:val="0"/>
        <w:pageBreakBefore w:val="0"/>
        <w:kinsoku/>
        <w:wordWrap/>
        <w:overflowPunct/>
        <w:topLinePunct w:val="0"/>
        <w:autoSpaceDE/>
        <w:autoSpaceDN/>
        <w:bidi w:val="0"/>
        <w:adjustRightInd w:val="0"/>
        <w:snapToGrid w:val="0"/>
        <w:spacing w:line="620" w:lineRule="exact"/>
        <w:ind w:firstLine="643" w:firstLineChars="200"/>
        <w:textAlignment w:val="auto"/>
        <w:rPr>
          <w:rFonts w:ascii="楷体_GB2312" w:hAnsi="楷体_GB2312" w:eastAsia="楷体_GB2312" w:cs="楷体_GB2312"/>
          <w:b/>
          <w:bCs/>
          <w:color w:val="000000" w:themeColor="text1"/>
          <w:sz w:val="32"/>
          <w:szCs w:val="32"/>
          <w:highlight w:val="none"/>
          <w14:textFill>
            <w14:solidFill>
              <w14:schemeClr w14:val="tx1"/>
            </w14:solidFill>
          </w14:textFill>
        </w:rPr>
      </w:pPr>
      <w:r>
        <w:rPr>
          <w:rFonts w:hint="eastAsia" w:ascii="楷体_GB2312" w:hAnsi="楷体_GB2312" w:eastAsia="楷体_GB2312" w:cs="楷体_GB2312"/>
          <w:b/>
          <w:bCs/>
          <w:color w:val="000000" w:themeColor="text1"/>
          <w:sz w:val="32"/>
          <w:szCs w:val="32"/>
          <w:highlight w:val="none"/>
          <w14:textFill>
            <w14:solidFill>
              <w14:schemeClr w14:val="tx1"/>
            </w14:solidFill>
          </w14:textFill>
        </w:rPr>
        <w:t>（一）项目概况</w:t>
      </w:r>
    </w:p>
    <w:p>
      <w:pPr>
        <w:keepNext w:val="0"/>
        <w:keepLines w:val="0"/>
        <w:pageBreakBefore w:val="0"/>
        <w:kinsoku/>
        <w:wordWrap/>
        <w:overflowPunct/>
        <w:topLinePunct w:val="0"/>
        <w:autoSpaceDE/>
        <w:autoSpaceDN/>
        <w:bidi w:val="0"/>
        <w:adjustRightInd w:val="0"/>
        <w:snapToGrid w:val="0"/>
        <w:spacing w:line="620" w:lineRule="exact"/>
        <w:ind w:firstLine="643"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1</w:t>
      </w:r>
      <w:r>
        <w:rPr>
          <w:rFonts w:hint="eastAsia" w:ascii="仿宋_GB2312" w:eastAsia="仿宋_GB2312"/>
          <w:b/>
          <w:color w:val="000000" w:themeColor="text1"/>
          <w:sz w:val="32"/>
          <w:szCs w:val="32"/>
          <w:highlight w:val="none"/>
          <w:lang w:eastAsia="zh-CN"/>
          <w14:textFill>
            <w14:solidFill>
              <w14:schemeClr w14:val="tx1"/>
            </w14:solidFill>
          </w14:textFill>
        </w:rPr>
        <w:t>.</w:t>
      </w:r>
      <w:r>
        <w:rPr>
          <w:rFonts w:hint="eastAsia" w:ascii="仿宋_GB2312" w:eastAsia="仿宋_GB2312"/>
          <w:b/>
          <w:color w:val="000000" w:themeColor="text1"/>
          <w:sz w:val="32"/>
          <w:szCs w:val="32"/>
          <w:highlight w:val="none"/>
          <w14:textFill>
            <w14:solidFill>
              <w14:schemeClr w14:val="tx1"/>
            </w14:solidFill>
          </w14:textFill>
        </w:rPr>
        <w:t>项目实施单位及项目立项等基本情况</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石家庄市政府授权石家庄市轨道交通建设办公室为实施机构，以PPP模式实施本项目，授权石家庄市地铁资源开发有限公司作为本项目的政府方出资代表与中国铁建股份有限公司及中铁十七局集团有限公司联合体组建石家庄嘉泰管廊运营有限公司，市轨道交通建设办公室与石家庄嘉泰管廊运营有限公司通过签署协议的方式，授予石家庄嘉泰管廊运营有限公司在合作期内协议</w:t>
      </w:r>
      <w:r>
        <w:rPr>
          <w:rFonts w:hint="eastAsia" w:ascii="仿宋_GB2312" w:eastAsia="仿宋_GB2312"/>
          <w:b/>
          <w:bCs/>
          <w:color w:val="000000" w:themeColor="text1"/>
          <w:sz w:val="32"/>
          <w:szCs w:val="32"/>
          <w:highlight w:val="none"/>
          <w14:textFill>
            <w14:solidFill>
              <w14:schemeClr w14:val="tx1"/>
            </w14:solidFill>
          </w14:textFill>
        </w:rPr>
        <w:t>项下</w:t>
      </w:r>
      <w:r>
        <w:rPr>
          <w:rFonts w:hint="eastAsia" w:ascii="仿宋_GB2312" w:eastAsia="仿宋_GB2312"/>
          <w:color w:val="000000" w:themeColor="text1"/>
          <w:sz w:val="32"/>
          <w:szCs w:val="32"/>
          <w:highlight w:val="none"/>
          <w14:textFill>
            <w14:solidFill>
              <w14:schemeClr w14:val="tx1"/>
            </w14:solidFill>
          </w14:textFill>
        </w:rPr>
        <w:t>的项目经营权。由石家庄嘉泰管廊运营有限公司负责PPP项目的具体实施。</w:t>
      </w: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2016年11月8日石家庄市发展和改革委员会对石家庄市地铁资源开发有限公司组织编制的《石家庄市地下综合管廊（塔北路段）工程项目建议书》（石发改投资</w:t>
      </w:r>
      <w:r>
        <w:rPr>
          <w:rFonts w:hint="eastAsia" w:ascii="仿宋_GB2312" w:hAnsi="仿宋_GB2312" w:eastAsia="仿宋_GB2312" w:cs="仿宋_GB2312"/>
          <w:color w:val="000000" w:themeColor="text1"/>
          <w:sz w:val="32"/>
          <w:szCs w:val="40"/>
          <w:highlight w:val="none"/>
          <w14:textFill>
            <w14:solidFill>
              <w14:schemeClr w14:val="tx1"/>
            </w14:solidFill>
          </w14:textFill>
        </w:rPr>
        <w:t>〔2016〕</w:t>
      </w:r>
      <w:r>
        <w:rPr>
          <w:rFonts w:hint="eastAsia" w:ascii="仿宋_GB2312" w:eastAsia="仿宋_GB2312"/>
          <w:color w:val="000000" w:themeColor="text1"/>
          <w:sz w:val="32"/>
          <w:szCs w:val="32"/>
          <w:highlight w:val="none"/>
          <w14:textFill>
            <w14:solidFill>
              <w14:schemeClr w14:val="tx1"/>
            </w14:solidFill>
          </w14:textFill>
        </w:rPr>
        <w:t>1107号）进行了批复，具体详见此《建议书》。</w:t>
      </w:r>
    </w:p>
    <w:p>
      <w:pPr>
        <w:keepNext w:val="0"/>
        <w:keepLines w:val="0"/>
        <w:pageBreakBefore w:val="0"/>
        <w:kinsoku/>
        <w:wordWrap/>
        <w:overflowPunct/>
        <w:topLinePunct w:val="0"/>
        <w:autoSpaceDE/>
        <w:autoSpaceDN/>
        <w:bidi w:val="0"/>
        <w:adjustRightInd w:val="0"/>
        <w:snapToGrid w:val="0"/>
        <w:spacing w:line="620" w:lineRule="exact"/>
        <w:ind w:firstLine="643" w:firstLineChars="200"/>
        <w:textAlignment w:val="auto"/>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2</w:t>
      </w:r>
      <w:r>
        <w:rPr>
          <w:rFonts w:hint="eastAsia" w:ascii="仿宋_GB2312" w:eastAsia="仿宋_GB2312"/>
          <w:b/>
          <w:color w:val="000000" w:themeColor="text1"/>
          <w:sz w:val="32"/>
          <w:szCs w:val="32"/>
          <w:highlight w:val="none"/>
          <w:lang w:eastAsia="zh-CN"/>
          <w14:textFill>
            <w14:solidFill>
              <w14:schemeClr w14:val="tx1"/>
            </w14:solidFill>
          </w14:textFill>
        </w:rPr>
        <w:t>.</w:t>
      </w:r>
      <w:r>
        <w:rPr>
          <w:rFonts w:hint="eastAsia" w:ascii="仿宋_GB2312" w:eastAsia="仿宋_GB2312"/>
          <w:b/>
          <w:color w:val="000000" w:themeColor="text1"/>
          <w:sz w:val="32"/>
          <w:szCs w:val="32"/>
          <w:highlight w:val="none"/>
          <w14:textFill>
            <w14:solidFill>
              <w14:schemeClr w14:val="tx1"/>
            </w14:solidFill>
          </w14:textFill>
        </w:rPr>
        <w:t>项目主要实施内容和范围</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lang w:val="en-US" w:eastAsia="zh-CN"/>
          <w14:textFill>
            <w14:solidFill>
              <w14:schemeClr w14:val="tx1"/>
            </w14:solidFill>
          </w14:textFill>
        </w:rPr>
        <w:t>1</w:t>
      </w:r>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工程内容</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塔北路综合管廊项目与轨道交通3号线一期工程同路由设置，全长5.85公里，全线设20座节点井（包含13座工艺井和7座盾构井），5处变电所，1处综合管理中心。</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主要建设内容包括综合管廊工程主体，附属工程设施包括监控中心、与管廊配套的消防系统、通风系统、供电与照明系统、监控与报警系统、排水、标识等。</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lang w:val="en-US" w:eastAsia="zh-CN"/>
          <w14:textFill>
            <w14:solidFill>
              <w14:schemeClr w14:val="tx1"/>
            </w14:solidFill>
          </w14:textFill>
        </w:rPr>
        <w:t>2</w:t>
      </w:r>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PPP项目投资规模</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投资范围包括工程费、工程建设其他费用、基本预备费、建设期贷款利息等。</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根据石家庄市行政审批局《关于塔北路综合管廊工程初步设计的批复》文件，本项目总投资75425.86万元。其中工程费63226.17万</w:t>
      </w:r>
      <w:r>
        <w:rPr>
          <w:rFonts w:hint="eastAsia" w:ascii="仿宋_GB2312" w:eastAsia="仿宋_GB2312"/>
          <w:color w:val="000000" w:themeColor="text1"/>
          <w:sz w:val="32"/>
          <w:szCs w:val="32"/>
          <w14:textFill>
            <w14:solidFill>
              <w14:schemeClr w14:val="tx1"/>
            </w14:solidFill>
          </w14:textFill>
        </w:rPr>
        <w:t>元，工程建设其他费8246.07万元，预备费2144.17万元，专项费用1809.35万元（本项目最终投资额以审计部门审定的价格为准）。</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项目投资不包括入廊管线费用、征地拆迁费用。</w:t>
      </w:r>
    </w:p>
    <w:p>
      <w:pPr>
        <w:keepNext w:val="0"/>
        <w:keepLines w:val="0"/>
        <w:pageBreakBefore w:val="0"/>
        <w:kinsoku/>
        <w:wordWrap/>
        <w:overflowPunct/>
        <w:topLinePunct w:val="0"/>
        <w:autoSpaceDE/>
        <w:autoSpaceDN/>
        <w:bidi w:val="0"/>
        <w:adjustRightInd w:val="0"/>
        <w:snapToGrid w:val="0"/>
        <w:spacing w:line="620" w:lineRule="exact"/>
        <w:ind w:firstLine="643" w:firstLineChars="200"/>
        <w:textAlignment w:val="auto"/>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3</w:t>
      </w:r>
      <w:r>
        <w:rPr>
          <w:rFonts w:hint="eastAsia" w:ascii="仿宋_GB2312" w:eastAsia="仿宋_GB2312"/>
          <w:b/>
          <w:color w:val="000000" w:themeColor="text1"/>
          <w:sz w:val="32"/>
          <w:szCs w:val="32"/>
          <w:lang w:eastAsia="zh-CN"/>
          <w14:textFill>
            <w14:solidFill>
              <w14:schemeClr w14:val="tx1"/>
            </w14:solidFill>
          </w14:textFill>
        </w:rPr>
        <w:t>.</w:t>
      </w:r>
      <w:r>
        <w:rPr>
          <w:rFonts w:hint="eastAsia" w:ascii="仿宋_GB2312" w:eastAsia="仿宋_GB2312"/>
          <w:b/>
          <w:color w:val="000000" w:themeColor="text1"/>
          <w:sz w:val="32"/>
          <w:szCs w:val="32"/>
          <w14:textFill>
            <w14:solidFill>
              <w14:schemeClr w14:val="tx1"/>
            </w14:solidFill>
          </w14:textFill>
        </w:rPr>
        <w:t>项目资金投入情况</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项目总投资75425.86万元，其中资本金13732万元（政府方2746.4万元，社会资本方10985.6万元）</w:t>
      </w:r>
      <w:r>
        <w:rPr>
          <w:rFonts w:hint="eastAsia" w:eastAsia="仿宋_GB2312" w:asciiTheme="minorHAnsi" w:hAnsiTheme="minorHAnsi"/>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其余资金由银行贷款解决，并随项目建设进展需要陆续到位。2019年市财政安排了6567万元的城市管网资金，作为项目建设资金已经拨付给嘉泰公司。</w:t>
      </w:r>
    </w:p>
    <w:p>
      <w:pPr>
        <w:keepNext w:val="0"/>
        <w:keepLines w:val="0"/>
        <w:pageBreakBefore w:val="0"/>
        <w:numPr>
          <w:ilvl w:val="0"/>
          <w:numId w:val="1"/>
        </w:numPr>
        <w:kinsoku/>
        <w:wordWrap/>
        <w:overflowPunct/>
        <w:topLinePunct w:val="0"/>
        <w:autoSpaceDE/>
        <w:autoSpaceDN/>
        <w:bidi w:val="0"/>
        <w:adjustRightInd w:val="0"/>
        <w:snapToGrid w:val="0"/>
        <w:spacing w:line="620" w:lineRule="exact"/>
        <w:ind w:firstLine="643" w:firstLineChars="200"/>
        <w:textAlignment w:val="auto"/>
        <w:rPr>
          <w:rFonts w:ascii="楷体_GB2312" w:hAnsi="楷体_GB2312" w:eastAsia="楷体_GB2312" w:cs="楷体_GB2312"/>
          <w:b/>
          <w:bCs/>
          <w:color w:val="000000" w:themeColor="text1"/>
          <w:sz w:val="32"/>
          <w:szCs w:val="32"/>
          <w14:textFill>
            <w14:solidFill>
              <w14:schemeClr w14:val="tx1"/>
            </w14:solidFill>
          </w14:textFill>
        </w:rPr>
      </w:pPr>
      <w:r>
        <w:rPr>
          <w:rFonts w:hint="eastAsia" w:ascii="楷体_GB2312" w:hAnsi="楷体_GB2312" w:eastAsia="楷体_GB2312" w:cs="楷体_GB2312"/>
          <w:b/>
          <w:bCs/>
          <w:color w:val="000000" w:themeColor="text1"/>
          <w:sz w:val="32"/>
          <w:szCs w:val="32"/>
          <w14:textFill>
            <w14:solidFill>
              <w14:schemeClr w14:val="tx1"/>
            </w14:solidFill>
          </w14:textFill>
        </w:rPr>
        <w:t>项目预期绩效目标</w:t>
      </w:r>
    </w:p>
    <w:p>
      <w:pPr>
        <w:keepNext w:val="0"/>
        <w:keepLines w:val="0"/>
        <w:pageBreakBefore w:val="0"/>
        <w:numPr>
          <w:ilvl w:val="0"/>
          <w:numId w:val="0"/>
        </w:numPr>
        <w:kinsoku/>
        <w:wordWrap/>
        <w:overflowPunct/>
        <w:topLinePunct w:val="0"/>
        <w:autoSpaceDE/>
        <w:autoSpaceDN/>
        <w:bidi w:val="0"/>
        <w:adjustRightInd w:val="0"/>
        <w:snapToGrid w:val="0"/>
        <w:spacing w:line="620" w:lineRule="exact"/>
        <w:ind w:left="640" w:leftChars="0"/>
        <w:textAlignment w:val="auto"/>
        <w:rPr>
          <w:rFonts w:ascii="仿宋_GB2312" w:eastAsia="仿宋_GB2312"/>
          <w:b/>
          <w:bCs/>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lang w:val="en-US" w:eastAsia="zh-CN"/>
          <w14:textFill>
            <w14:solidFill>
              <w14:schemeClr w14:val="tx1"/>
            </w14:solidFill>
          </w14:textFill>
        </w:rPr>
        <w:t>1.</w:t>
      </w:r>
      <w:r>
        <w:rPr>
          <w:rFonts w:hint="eastAsia" w:ascii="仿宋_GB2312" w:eastAsia="仿宋_GB2312"/>
          <w:b/>
          <w:bCs/>
          <w:color w:val="000000" w:themeColor="text1"/>
          <w:sz w:val="32"/>
          <w:szCs w:val="32"/>
          <w14:textFill>
            <w14:solidFill>
              <w14:schemeClr w14:val="tx1"/>
            </w14:solidFill>
          </w14:textFill>
        </w:rPr>
        <w:t>项目预期绩效总目标</w:t>
      </w: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（1）目标1：推动地下综合管廊试点城市建设，加快地下综合管廊建设，督导试点目标完成，实现城市管廊运营管理现代化。</w:t>
      </w: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（2）目标2：监督管廊安全生产及施工质量，提高管廊建设项目管理水平，确保地下管廊安全、高效、优质运营。</w:t>
      </w:r>
    </w:p>
    <w:p>
      <w:pPr>
        <w:keepNext w:val="0"/>
        <w:keepLines w:val="0"/>
        <w:pageBreakBefore w:val="0"/>
        <w:kinsoku/>
        <w:wordWrap/>
        <w:overflowPunct/>
        <w:topLinePunct w:val="0"/>
        <w:autoSpaceDE/>
        <w:autoSpaceDN/>
        <w:bidi w:val="0"/>
        <w:adjustRightInd w:val="0"/>
        <w:snapToGrid w:val="0"/>
        <w:spacing w:line="620" w:lineRule="exact"/>
        <w:ind w:firstLine="643" w:firstLineChars="200"/>
        <w:textAlignment w:val="auto"/>
        <w:rPr>
          <w:rFonts w:ascii="仿宋_GB2312" w:eastAsia="仿宋_GB2312"/>
          <w:b/>
          <w:bCs/>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14:textFill>
            <w14:solidFill>
              <w14:schemeClr w14:val="tx1"/>
            </w14:solidFill>
          </w14:textFill>
        </w:rPr>
        <w:t>2</w:t>
      </w:r>
      <w:r>
        <w:rPr>
          <w:rFonts w:hint="eastAsia" w:ascii="仿宋_GB2312" w:eastAsia="仿宋_GB2312"/>
          <w:b/>
          <w:bCs/>
          <w:color w:val="000000" w:themeColor="text1"/>
          <w:sz w:val="32"/>
          <w:szCs w:val="32"/>
          <w:lang w:val="en-US" w:eastAsia="zh-CN"/>
          <w14:textFill>
            <w14:solidFill>
              <w14:schemeClr w14:val="tx1"/>
            </w14:solidFill>
          </w14:textFill>
        </w:rPr>
        <w:t>.</w:t>
      </w:r>
      <w:r>
        <w:rPr>
          <w:rFonts w:hint="eastAsia" w:ascii="仿宋_GB2312" w:eastAsia="仿宋_GB2312"/>
          <w:b/>
          <w:bCs/>
          <w:color w:val="000000" w:themeColor="text1"/>
          <w:sz w:val="32"/>
          <w:szCs w:val="32"/>
          <w14:textFill>
            <w14:solidFill>
              <w14:schemeClr w14:val="tx1"/>
            </w14:solidFill>
          </w14:textFill>
        </w:rPr>
        <w:t>当年绩效目标和指标</w:t>
      </w: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当年绩效目标：石家庄市塔北路地下综合管廊项目计划于2019年8月底完工，根据工程进度，专款专用，将6567万元专项资金及时拨付至SPV公司，确保塔北路地下综合管廊9月份投入试运营。</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当年绩效指标：</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hAnsi="仿宋_GB2312" w:eastAsia="仿宋_GB2312" w:cs="仿宋_GB2312"/>
          <w:color w:val="000000" w:themeColor="text1"/>
          <w:kern w:val="0"/>
          <w:sz w:val="31"/>
          <w:szCs w:val="31"/>
          <w14:textFill>
            <w14:solidFill>
              <w14:schemeClr w14:val="tx1"/>
            </w14:solidFill>
          </w14:textFill>
        </w:rPr>
        <w:t>产出指标-数量指标</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工程完工量：根据投资计划完成相应工作量</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（2）产出指标-时效指标</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资金拨付到位：根据工程进度拨付至管廊公司</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（3）效益指标-经济效益指标</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专款专用：发挥财政资本金最大效率</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（4）效益指标-经济效益指标</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仿宋_GB2312" w:hAnsi="仿宋_GB2312" w:eastAsia="仿宋_GB2312" w:cs="仿宋_GB2312"/>
          <w:color w:val="000000" w:themeColor="text1"/>
          <w:kern w:val="0"/>
          <w:sz w:val="31"/>
          <w:szCs w:val="31"/>
          <w14:textFill>
            <w14:solidFill>
              <w14:schemeClr w14:val="tx1"/>
            </w14:solidFill>
          </w14:textFill>
        </w:rPr>
        <w:t>按时试运营：2019年9月试运营</w:t>
      </w:r>
    </w:p>
    <w:p>
      <w:pPr>
        <w:keepNext w:val="0"/>
        <w:keepLines w:val="0"/>
        <w:pageBreakBefore w:val="0"/>
        <w:kinsoku/>
        <w:wordWrap/>
        <w:overflowPunct/>
        <w:topLinePunct w:val="0"/>
        <w:autoSpaceDE/>
        <w:autoSpaceDN/>
        <w:bidi w:val="0"/>
        <w:adjustRightInd w:val="0"/>
        <w:snapToGrid w:val="0"/>
        <w:spacing w:line="620" w:lineRule="exact"/>
        <w:ind w:firstLine="640" w:firstLineChars="200"/>
        <w:textAlignment w:val="auto"/>
        <w:rPr>
          <w:rFonts w:ascii="黑体" w:hAnsi="黑体" w:eastAsia="黑体"/>
          <w:b w:val="0"/>
          <w:bCs w:val="0"/>
          <w:color w:val="000000" w:themeColor="text1"/>
          <w:sz w:val="32"/>
          <w:szCs w:val="32"/>
          <w14:textFill>
            <w14:solidFill>
              <w14:schemeClr w14:val="tx1"/>
            </w14:solidFill>
          </w14:textFill>
        </w:rPr>
      </w:pPr>
      <w:r>
        <w:rPr>
          <w:rFonts w:hint="eastAsia" w:ascii="黑体" w:hAnsi="黑体" w:eastAsia="黑体"/>
          <w:b w:val="0"/>
          <w:bCs w:val="0"/>
          <w:color w:val="000000" w:themeColor="text1"/>
          <w:sz w:val="32"/>
          <w:szCs w:val="32"/>
          <w14:textFill>
            <w14:solidFill>
              <w14:schemeClr w14:val="tx1"/>
            </w14:solidFill>
          </w14:textFill>
        </w:rPr>
        <w:t>二、绩效自评工作情况</w:t>
      </w:r>
    </w:p>
    <w:p>
      <w:pPr>
        <w:keepNext w:val="0"/>
        <w:keepLines w:val="0"/>
        <w:pageBreakBefore w:val="0"/>
        <w:kinsoku/>
        <w:wordWrap/>
        <w:overflowPunct/>
        <w:topLinePunct w:val="0"/>
        <w:autoSpaceDE/>
        <w:autoSpaceDN/>
        <w:bidi w:val="0"/>
        <w:spacing w:line="620" w:lineRule="exact"/>
        <w:ind w:firstLine="640"/>
        <w:textAlignment w:val="auto"/>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b/>
          <w:bCs/>
          <w:color w:val="000000" w:themeColor="text1"/>
          <w:sz w:val="32"/>
          <w:szCs w:val="32"/>
          <w14:textFill>
            <w14:solidFill>
              <w14:schemeClr w14:val="tx1"/>
            </w14:solidFill>
          </w14:textFill>
        </w:rPr>
        <w:t>（一）绩效自评的组织工作</w:t>
      </w:r>
    </w:p>
    <w:p>
      <w:pPr>
        <w:keepNext w:val="0"/>
        <w:keepLines w:val="0"/>
        <w:pageBreakBefore w:val="0"/>
        <w:kinsoku/>
        <w:wordWrap/>
        <w:overflowPunct/>
        <w:topLinePunct w:val="0"/>
        <w:autoSpaceDE/>
        <w:autoSpaceDN/>
        <w:bidi w:val="0"/>
        <w:spacing w:line="620" w:lineRule="exact"/>
        <w:ind w:firstLine="640"/>
        <w:textAlignment w:val="auto"/>
        <w:rPr>
          <w:rFonts w:ascii="仿宋_GB2312" w:hAnsi="仿宋_GB2312" w:eastAsia="仿宋_GB2312" w:cs="仿宋_GB2312"/>
          <w:color w:val="000000" w:themeColor="text1"/>
          <w:sz w:val="32"/>
          <w:szCs w:val="40"/>
          <w14:textFill>
            <w14:solidFill>
              <w14:schemeClr w14:val="tx1"/>
            </w14:solidFill>
          </w14:textFill>
        </w:rPr>
      </w:pPr>
      <w:r>
        <w:rPr>
          <w:rFonts w:hint="eastAsia" w:ascii="仿宋_GB2312" w:hAnsi="仿宋_GB2312" w:eastAsia="仿宋_GB2312" w:cs="仿宋_GB2312"/>
          <w:color w:val="000000" w:themeColor="text1"/>
          <w:sz w:val="32"/>
          <w:szCs w:val="40"/>
          <w14:textFill>
            <w14:solidFill>
              <w14:schemeClr w14:val="tx1"/>
            </w14:solidFill>
          </w14:textFill>
        </w:rPr>
        <w:t>根据石家庄市财政局《关于开展2019年度财政专项资金部门绩效自评工作的通知》（石财监〔2020〕6号）（以下简称为《通知》），我办成立了绩效自评工作组，</w:t>
      </w:r>
      <w:r>
        <w:rPr>
          <w:rFonts w:hint="eastAsia" w:ascii="仿宋_GB2312" w:eastAsia="仿宋_GB2312"/>
          <w:color w:val="000000" w:themeColor="text1"/>
          <w:sz w:val="32"/>
          <w:szCs w:val="32"/>
          <w14:textFill>
            <w14:solidFill>
              <w14:schemeClr w14:val="tx1"/>
            </w14:solidFill>
          </w14:textFill>
        </w:rPr>
        <w:t>项目绩效评价工作由本单位财务负责人郭京晶副主任担任组长，成员包括项目主管部门、财务主管部门等和实施单位相关人员组成。</w:t>
      </w:r>
      <w:r>
        <w:rPr>
          <w:rFonts w:hint="eastAsia" w:ascii="仿宋_GB2312" w:hAnsi="仿宋_GB2312" w:eastAsia="仿宋_GB2312" w:cs="仿宋_GB2312"/>
          <w:color w:val="000000" w:themeColor="text1"/>
          <w:sz w:val="32"/>
          <w:szCs w:val="40"/>
          <w14:textFill>
            <w14:solidFill>
              <w14:schemeClr w14:val="tx1"/>
            </w14:solidFill>
          </w14:textFill>
        </w:rPr>
        <w:t>自评工作组及时召开专门会议，组织有关人员认真学习了解了相关政策文件，</w:t>
      </w:r>
      <w:r>
        <w:rPr>
          <w:rFonts w:hint="eastAsia" w:ascii="仿宋_GB2312" w:eastAsia="仿宋_GB2312"/>
          <w:color w:val="000000" w:themeColor="text1"/>
          <w:sz w:val="32"/>
          <w:szCs w:val="32"/>
          <w14:textFill>
            <w14:solidFill>
              <w14:schemeClr w14:val="tx1"/>
            </w14:solidFill>
          </w14:textFill>
        </w:rPr>
        <w:t>按照规定的评价程序和方法具体实施评价工作，</w:t>
      </w:r>
      <w:r>
        <w:rPr>
          <w:rFonts w:hint="eastAsia" w:ascii="仿宋_GB2312" w:hAnsi="仿宋_GB2312" w:eastAsia="仿宋_GB2312" w:cs="仿宋_GB2312"/>
          <w:color w:val="000000" w:themeColor="text1"/>
          <w:sz w:val="32"/>
          <w:szCs w:val="40"/>
          <w14:textFill>
            <w14:solidFill>
              <w14:schemeClr w14:val="tx1"/>
            </w14:solidFill>
          </w14:textFill>
        </w:rPr>
        <w:t>并按照要求逐项搞好资料检查和现场调查，收集相关评价佐证资料。</w:t>
      </w:r>
    </w:p>
    <w:p>
      <w:pPr>
        <w:keepNext w:val="0"/>
        <w:keepLines w:val="0"/>
        <w:pageBreakBefore w:val="0"/>
        <w:numPr>
          <w:ilvl w:val="0"/>
          <w:numId w:val="0"/>
        </w:numPr>
        <w:kinsoku/>
        <w:wordWrap/>
        <w:overflowPunct/>
        <w:topLinePunct w:val="0"/>
        <w:autoSpaceDE/>
        <w:autoSpaceDN/>
        <w:bidi w:val="0"/>
        <w:spacing w:line="620" w:lineRule="exact"/>
        <w:ind w:firstLine="643" w:firstLineChars="200"/>
        <w:textAlignment w:val="auto"/>
        <w:rPr>
          <w:rFonts w:hint="eastAsia" w:ascii="楷体" w:hAnsi="楷体" w:eastAsia="楷体" w:cs="楷体"/>
          <w:b/>
          <w:bCs/>
          <w:color w:val="000000" w:themeColor="text1"/>
          <w:sz w:val="32"/>
          <w:szCs w:val="32"/>
          <w14:textFill>
            <w14:solidFill>
              <w14:schemeClr w14:val="tx1"/>
            </w14:solidFill>
          </w14:textFill>
        </w:rPr>
      </w:pPr>
      <w:r>
        <w:rPr>
          <w:rFonts w:hint="eastAsia" w:ascii="楷体" w:hAnsi="楷体" w:eastAsia="楷体" w:cs="楷体"/>
          <w:b/>
          <w:bCs/>
          <w:color w:val="000000" w:themeColor="text1"/>
          <w:sz w:val="32"/>
          <w:szCs w:val="32"/>
          <w:lang w:eastAsia="zh-CN"/>
          <w14:textFill>
            <w14:solidFill>
              <w14:schemeClr w14:val="tx1"/>
            </w14:solidFill>
          </w14:textFill>
        </w:rPr>
        <w:t>（二）</w:t>
      </w:r>
      <w:r>
        <w:rPr>
          <w:rFonts w:hint="eastAsia" w:ascii="楷体" w:hAnsi="楷体" w:eastAsia="楷体" w:cs="楷体"/>
          <w:b/>
          <w:bCs/>
          <w:color w:val="000000" w:themeColor="text1"/>
          <w:sz w:val="32"/>
          <w:szCs w:val="32"/>
          <w14:textFill>
            <w14:solidFill>
              <w14:schemeClr w14:val="tx1"/>
            </w14:solidFill>
          </w14:textFill>
        </w:rPr>
        <w:t>绩效自评的方法和过程</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收集整理相关的评价资料，包括塔北路综合管廊工程可行性研究报告、嘉泰管廊公司工程管理制度、地下综合管廊（塔北路段）工程PPP项目合同、PPP项目合资协议等，调查核实评价基础数据，</w:t>
      </w:r>
      <w:r>
        <w:rPr>
          <w:rFonts w:hint="eastAsia" w:ascii="仿宋_GB2312" w:hAnsi="仿宋_GB2312" w:eastAsia="仿宋_GB2312" w:cs="仿宋_GB2312"/>
          <w:color w:val="000000" w:themeColor="text1"/>
          <w:sz w:val="32"/>
          <w:szCs w:val="40"/>
          <w14:textFill>
            <w14:solidFill>
              <w14:schemeClr w14:val="tx1"/>
            </w14:solidFill>
          </w14:textFill>
        </w:rPr>
        <w:t>建立绩效评价指标体系，根据对绩效评价标准的分析，组织有关人员对项目过程进行考核，</w:t>
      </w:r>
      <w:r>
        <w:rPr>
          <w:rFonts w:hint="eastAsia" w:ascii="仿宋_GB2312" w:eastAsia="仿宋_GB2312"/>
          <w:color w:val="000000" w:themeColor="text1"/>
          <w:sz w:val="32"/>
          <w:szCs w:val="32"/>
          <w14:textFill>
            <w14:solidFill>
              <w14:schemeClr w14:val="tx1"/>
            </w14:solidFill>
          </w14:textFill>
        </w:rPr>
        <w:t>评价工作组根据评价指标汇总评价结果，根据绩效评价结果撰写绩效评价报告，填写自评报告书。</w:t>
      </w:r>
    </w:p>
    <w:p>
      <w:pPr>
        <w:keepNext w:val="0"/>
        <w:keepLines w:val="0"/>
        <w:pageBreakBefore w:val="0"/>
        <w:numPr>
          <w:ilvl w:val="0"/>
          <w:numId w:val="0"/>
        </w:numPr>
        <w:kinsoku/>
        <w:wordWrap/>
        <w:overflowPunct/>
        <w:topLinePunct w:val="0"/>
        <w:autoSpaceDE/>
        <w:autoSpaceDN/>
        <w:bidi w:val="0"/>
        <w:spacing w:line="620" w:lineRule="exact"/>
        <w:ind w:firstLine="643" w:firstLineChars="200"/>
        <w:textAlignment w:val="auto"/>
        <w:rPr>
          <w:rFonts w:hint="eastAsia" w:ascii="楷体" w:hAnsi="楷体" w:eastAsia="楷体" w:cs="楷体"/>
          <w:b/>
          <w:bCs/>
          <w:color w:val="000000" w:themeColor="text1"/>
          <w:sz w:val="32"/>
          <w:szCs w:val="32"/>
          <w14:textFill>
            <w14:solidFill>
              <w14:schemeClr w14:val="tx1"/>
            </w14:solidFill>
          </w14:textFill>
        </w:rPr>
      </w:pPr>
      <w:r>
        <w:rPr>
          <w:rFonts w:hint="eastAsia" w:ascii="楷体" w:hAnsi="楷体" w:eastAsia="楷体" w:cs="楷体"/>
          <w:b/>
          <w:bCs/>
          <w:color w:val="000000" w:themeColor="text1"/>
          <w:sz w:val="32"/>
          <w:szCs w:val="32"/>
          <w14:textFill>
            <w14:solidFill>
              <w14:schemeClr w14:val="tx1"/>
            </w14:solidFill>
          </w14:textFill>
        </w:rPr>
        <w:t xml:space="preserve">（三）建立绩效评价指标体系 </w:t>
      </w:r>
    </w:p>
    <w:p>
      <w:pPr>
        <w:keepNext w:val="0"/>
        <w:keepLines w:val="0"/>
        <w:pageBreakBefore w:val="0"/>
        <w:widowControl/>
        <w:kinsoku/>
        <w:wordWrap/>
        <w:overflowPunct/>
        <w:topLinePunct w:val="0"/>
        <w:autoSpaceDE/>
        <w:autoSpaceDN/>
        <w:bidi w:val="0"/>
        <w:spacing w:line="620" w:lineRule="exact"/>
        <w:ind w:firstLine="620" w:firstLineChars="200"/>
        <w:jc w:val="left"/>
        <w:textAlignment w:val="auto"/>
        <w:rPr>
          <w:rFonts w:ascii="仿宋_GB2312" w:hAnsi="仿宋_GB2312" w:eastAsia="仿宋_GB2312" w:cs="仿宋_GB2312"/>
          <w:color w:val="000000" w:themeColor="text1"/>
          <w:kern w:val="0"/>
          <w:sz w:val="31"/>
          <w:szCs w:val="31"/>
          <w14:textFill>
            <w14:solidFill>
              <w14:schemeClr w14:val="tx1"/>
            </w14:solidFill>
          </w14:textFill>
        </w:rPr>
      </w:pPr>
      <w:r>
        <w:rPr>
          <w:rFonts w:ascii="仿宋_GB2312" w:hAnsi="仿宋_GB2312" w:eastAsia="仿宋_GB2312" w:cs="仿宋_GB2312"/>
          <w:color w:val="000000" w:themeColor="text1"/>
          <w:kern w:val="0"/>
          <w:sz w:val="31"/>
          <w:szCs w:val="31"/>
          <w14:textFill>
            <w14:solidFill>
              <w14:schemeClr w14:val="tx1"/>
            </w14:solidFill>
          </w14:textFill>
        </w:rPr>
        <w:t>针对</w:t>
      </w:r>
      <w:r>
        <w:rPr>
          <w:rFonts w:hint="eastAsia" w:ascii="仿宋_GB2312" w:hAnsi="仿宋_GB2312" w:eastAsia="仿宋_GB2312" w:cs="仿宋_GB2312"/>
          <w:color w:val="000000" w:themeColor="text1"/>
          <w:kern w:val="0"/>
          <w:sz w:val="31"/>
          <w:szCs w:val="31"/>
          <w14:textFill>
            <w14:solidFill>
              <w14:schemeClr w14:val="tx1"/>
            </w14:solidFill>
          </w14:textFill>
        </w:rPr>
        <w:t>塔北路地下综合管廊项目</w:t>
      </w:r>
      <w:r>
        <w:rPr>
          <w:rFonts w:ascii="仿宋_GB2312" w:hAnsi="仿宋_GB2312" w:eastAsia="仿宋_GB2312" w:cs="仿宋_GB2312"/>
          <w:color w:val="000000" w:themeColor="text1"/>
          <w:kern w:val="0"/>
          <w:sz w:val="31"/>
          <w:szCs w:val="31"/>
          <w14:textFill>
            <w14:solidFill>
              <w14:schemeClr w14:val="tx1"/>
            </w14:solidFill>
          </w14:textFill>
        </w:rPr>
        <w:t xml:space="preserve">的特点，设计了具体绩效评价指标体系，具体如下： </w:t>
      </w:r>
    </w:p>
    <w:tbl>
      <w:tblPr>
        <w:tblStyle w:val="6"/>
        <w:tblpPr w:leftFromText="180" w:rightFromText="180" w:vertAnchor="text" w:horzAnchor="page" w:tblpX="1532" w:tblpY="246"/>
        <w:tblOverlap w:val="never"/>
        <w:tblW w:w="9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275"/>
        <w:gridCol w:w="1200"/>
        <w:gridCol w:w="3870"/>
        <w:gridCol w:w="1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trPr>
        <w:tc>
          <w:tcPr>
            <w:tcW w:w="3720" w:type="dxa"/>
            <w:gridSpan w:val="3"/>
          </w:tcPr>
          <w:p>
            <w:pPr>
              <w:pStyle w:val="4"/>
              <w:widowControl/>
              <w:spacing w:before="0" w:beforeAutospacing="0" w:after="0" w:afterAutospacing="0" w:line="600" w:lineRule="exact"/>
              <w:jc w:val="center"/>
              <w:rPr>
                <w:rFonts w:ascii="仿宋" w:hAnsi="仿宋" w:eastAsia="仿宋" w:cs="仿宋"/>
                <w:b/>
                <w:bCs/>
                <w:color w:val="000000" w:themeColor="text1"/>
                <w:sz w:val="28"/>
                <w:szCs w:val="28"/>
                <w:shd w:val="clear" w:color="auto" w:fill="FFFFFF"/>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绩效指标</w:t>
            </w:r>
          </w:p>
        </w:tc>
        <w:tc>
          <w:tcPr>
            <w:tcW w:w="3870" w:type="dxa"/>
            <w:vMerge w:val="restart"/>
            <w:vAlign w:val="center"/>
          </w:tcPr>
          <w:p>
            <w:pPr>
              <w:pStyle w:val="4"/>
              <w:widowControl/>
              <w:spacing w:before="0" w:beforeAutospacing="0" w:after="0" w:afterAutospacing="0" w:line="600" w:lineRule="exact"/>
              <w:jc w:val="center"/>
              <w:rPr>
                <w:rFonts w:ascii="仿宋" w:hAnsi="仿宋" w:eastAsia="仿宋" w:cs="仿宋"/>
                <w:b/>
                <w:bCs/>
                <w:color w:val="000000" w:themeColor="text1"/>
                <w:sz w:val="28"/>
                <w:szCs w:val="28"/>
                <w:shd w:val="clear" w:color="auto" w:fill="FFFFFF"/>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指标解释</w:t>
            </w:r>
          </w:p>
        </w:tc>
        <w:tc>
          <w:tcPr>
            <w:tcW w:w="1500" w:type="dxa"/>
            <w:vMerge w:val="restart"/>
            <w:vAlign w:val="center"/>
          </w:tcPr>
          <w:p>
            <w:pPr>
              <w:pStyle w:val="4"/>
              <w:widowControl/>
              <w:spacing w:before="0" w:beforeAutospacing="0" w:after="0" w:afterAutospacing="0" w:line="600" w:lineRule="exact"/>
              <w:jc w:val="center"/>
              <w:rPr>
                <w:rFonts w:ascii="仿宋" w:hAnsi="仿宋" w:eastAsia="仿宋" w:cs="仿宋"/>
                <w:b/>
                <w:bCs/>
                <w:color w:val="000000" w:themeColor="text1"/>
                <w:sz w:val="28"/>
                <w:szCs w:val="28"/>
                <w:shd w:val="clear" w:color="auto" w:fill="FFFFFF"/>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标准分值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245" w:type="dxa"/>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一级指标</w:t>
            </w:r>
          </w:p>
        </w:tc>
        <w:tc>
          <w:tcPr>
            <w:tcW w:w="1275" w:type="dxa"/>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二级指标</w:t>
            </w:r>
          </w:p>
        </w:tc>
        <w:tc>
          <w:tcPr>
            <w:tcW w:w="1200" w:type="dxa"/>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三级指标</w:t>
            </w:r>
          </w:p>
        </w:tc>
        <w:tc>
          <w:tcPr>
            <w:tcW w:w="3870" w:type="dxa"/>
            <w:vMerge w:val="continue"/>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c>
          <w:tcPr>
            <w:tcW w:w="1500" w:type="dxa"/>
            <w:vMerge w:val="continue"/>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5" w:hRule="atLeast"/>
        </w:trPr>
        <w:tc>
          <w:tcPr>
            <w:tcW w:w="1245" w:type="dxa"/>
            <w:vMerge w:val="restart"/>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产出指标</w:t>
            </w:r>
          </w:p>
        </w:tc>
        <w:tc>
          <w:tcPr>
            <w:tcW w:w="1275"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数量指标</w:t>
            </w: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工程按时完成率</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依据施工进度对项目进行考评</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45" w:type="dxa"/>
            <w:vMerge w:val="continue"/>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c>
          <w:tcPr>
            <w:tcW w:w="1275"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时效指标</w:t>
            </w: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资金拨付到位</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根据工程进度拨付至管廊公司</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3" w:hRule="atLeast"/>
        </w:trPr>
        <w:tc>
          <w:tcPr>
            <w:tcW w:w="1245" w:type="dxa"/>
            <w:vMerge w:val="continue"/>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c>
          <w:tcPr>
            <w:tcW w:w="1275"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质量指标</w:t>
            </w: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工程质量合格率</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b w:val="0"/>
                <w:bCs w:val="0"/>
                <w:color w:val="000000" w:themeColor="text1"/>
                <w:szCs w:val="24"/>
                <w14:textFill>
                  <w14:solidFill>
                    <w14:schemeClr w14:val="tx1"/>
                  </w14:solidFill>
                </w14:textFill>
              </w:rPr>
              <w:t>依据监理意见及验收合格的工程量与施工实际完成的工程量的比率进行考评</w:t>
            </w:r>
            <w:bookmarkStart w:id="0" w:name="_GoBack"/>
            <w:bookmarkEnd w:id="0"/>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2" w:hRule="atLeast"/>
        </w:trPr>
        <w:tc>
          <w:tcPr>
            <w:tcW w:w="1245" w:type="dxa"/>
            <w:vMerge w:val="restart"/>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效益指标</w:t>
            </w:r>
          </w:p>
        </w:tc>
        <w:tc>
          <w:tcPr>
            <w:tcW w:w="1275"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经济效益指标</w:t>
            </w: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专款专用</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发挥财政资本金最大效率</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45" w:type="dxa"/>
            <w:vMerge w:val="continue"/>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c>
          <w:tcPr>
            <w:tcW w:w="1275" w:type="dxa"/>
            <w:vMerge w:val="restart"/>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社会效益指 标</w:t>
            </w: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按时试运营</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2019年9月试运营</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45" w:type="dxa"/>
            <w:vMerge w:val="continue"/>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p>
        </w:tc>
        <w:tc>
          <w:tcPr>
            <w:tcW w:w="1275" w:type="dxa"/>
            <w:vMerge w:val="continue"/>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p>
        </w:tc>
        <w:tc>
          <w:tcPr>
            <w:tcW w:w="120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安全性指标</w:t>
            </w:r>
          </w:p>
        </w:tc>
        <w:tc>
          <w:tcPr>
            <w:tcW w:w="3870" w:type="dxa"/>
            <w:vAlign w:val="center"/>
          </w:tcPr>
          <w:p>
            <w:pPr>
              <w:pStyle w:val="4"/>
              <w:widowControl/>
              <w:spacing w:before="0" w:beforeAutospacing="0" w:after="0" w:afterAutospacing="0" w:line="600" w:lineRule="exact"/>
              <w:jc w:val="both"/>
              <w:rPr>
                <w:rFonts w:ascii="仿宋" w:hAnsi="仿宋" w:eastAsia="仿宋" w:cs="仿宋"/>
                <w:color w:val="000000" w:themeColor="text1"/>
                <w:szCs w:val="24"/>
                <w:shd w:val="clear" w:color="auto" w:fill="FFFFFF"/>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依据项目实施过程中，安全生产及监理意见对保障工作人员人身安全等指标进行考评</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45" w:type="dxa"/>
          </w:tcPr>
          <w:p>
            <w:pPr>
              <w:pStyle w:val="4"/>
              <w:widowControl/>
              <w:spacing w:before="0" w:beforeAutospacing="0" w:after="0" w:afterAutospacing="0" w:line="600" w:lineRule="exact"/>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14:textFill>
                  <w14:solidFill>
                    <w14:schemeClr w14:val="tx1"/>
                  </w14:solidFill>
                </w14:textFill>
              </w:rPr>
              <w:t>预算执行率指标</w:t>
            </w:r>
          </w:p>
        </w:tc>
        <w:tc>
          <w:tcPr>
            <w:tcW w:w="1275" w:type="dxa"/>
          </w:tcPr>
          <w:p>
            <w:pPr>
              <w:pStyle w:val="4"/>
              <w:widowControl/>
              <w:spacing w:before="0" w:beforeAutospacing="0" w:after="0" w:afterAutospacing="0" w:line="600" w:lineRule="exact"/>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14:textFill>
                  <w14:solidFill>
                    <w14:schemeClr w14:val="tx1"/>
                  </w14:solidFill>
                </w14:textFill>
              </w:rPr>
              <w:t>预算执行率</w:t>
            </w:r>
          </w:p>
        </w:tc>
        <w:tc>
          <w:tcPr>
            <w:tcW w:w="1200" w:type="dxa"/>
          </w:tcPr>
          <w:p>
            <w:pPr>
              <w:pStyle w:val="4"/>
              <w:widowControl/>
              <w:spacing w:before="0" w:beforeAutospacing="0" w:after="0" w:afterAutospacing="0" w:line="600" w:lineRule="exact"/>
              <w:rPr>
                <w:rFonts w:ascii="仿宋" w:hAnsi="仿宋" w:eastAsia="仿宋" w:cs="仿宋"/>
                <w:color w:val="000000" w:themeColor="text1"/>
                <w:szCs w:val="24"/>
                <w:shd w:val="clear" w:color="auto" w:fill="FFFFFF"/>
                <w14:textFill>
                  <w14:solidFill>
                    <w14:schemeClr w14:val="tx1"/>
                  </w14:solidFill>
                </w14:textFill>
              </w:rPr>
            </w:pPr>
          </w:p>
        </w:tc>
        <w:tc>
          <w:tcPr>
            <w:tcW w:w="3870" w:type="dxa"/>
          </w:tcPr>
          <w:p>
            <w:pPr>
              <w:pStyle w:val="4"/>
              <w:widowControl/>
              <w:spacing w:before="0" w:beforeAutospacing="0" w:after="0" w:afterAutospacing="0" w:line="600" w:lineRule="exact"/>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14:textFill>
                  <w14:solidFill>
                    <w14:schemeClr w14:val="tx1"/>
                  </w14:solidFill>
                </w14:textFill>
              </w:rPr>
              <w:t>依据项目当期实际支出与预算支出的比率进行考评。</w:t>
            </w:r>
          </w:p>
        </w:tc>
        <w:tc>
          <w:tcPr>
            <w:tcW w:w="1500" w:type="dxa"/>
            <w:vAlign w:val="center"/>
          </w:tcPr>
          <w:p>
            <w:pPr>
              <w:pStyle w:val="4"/>
              <w:widowControl/>
              <w:spacing w:before="0" w:beforeAutospacing="0" w:after="0" w:afterAutospacing="0" w:line="600" w:lineRule="exact"/>
              <w:jc w:val="center"/>
              <w:rPr>
                <w:rFonts w:ascii="仿宋" w:hAnsi="仿宋" w:eastAsia="仿宋" w:cs="仿宋"/>
                <w:color w:val="000000" w:themeColor="text1"/>
                <w:szCs w:val="24"/>
                <w:shd w:val="clear" w:color="auto" w:fill="FFFFFF"/>
                <w14:textFill>
                  <w14:solidFill>
                    <w14:schemeClr w14:val="tx1"/>
                  </w14:solidFill>
                </w14:textFill>
              </w:rPr>
            </w:pPr>
            <w:r>
              <w:rPr>
                <w:rFonts w:hint="eastAsia" w:ascii="仿宋" w:hAnsi="仿宋" w:eastAsia="仿宋" w:cs="仿宋"/>
                <w:color w:val="000000" w:themeColor="text1"/>
                <w:szCs w:val="24"/>
                <w:shd w:val="clear" w:color="auto" w:fill="FFFFFF"/>
                <w14:textFill>
                  <w14:solidFill>
                    <w14:schemeClr w14:val="tx1"/>
                  </w14:solidFill>
                </w14:textFill>
              </w:rPr>
              <w:t>10</w:t>
            </w:r>
          </w:p>
        </w:tc>
      </w:tr>
    </w:tbl>
    <w:p>
      <w:pPr>
        <w:widowControl/>
        <w:jc w:val="left"/>
        <w:rPr>
          <w:rFonts w:ascii="仿宋_GB2312" w:hAnsi="仿宋_GB2312" w:eastAsia="仿宋_GB2312" w:cs="仿宋_GB2312"/>
          <w:color w:val="000000" w:themeColor="text1"/>
          <w:kern w:val="0"/>
          <w:sz w:val="31"/>
          <w:szCs w:val="31"/>
          <w14:textFill>
            <w14:solidFill>
              <w14:schemeClr w14:val="tx1"/>
            </w14:solidFill>
          </w14:textFill>
        </w:rPr>
      </w:pPr>
    </w:p>
    <w:p>
      <w:pPr>
        <w:numPr>
          <w:ilvl w:val="0"/>
          <w:numId w:val="2"/>
        </w:numPr>
        <w:rPr>
          <w:rFonts w:ascii="仿宋_GB2312" w:hAnsi="仿宋_GB2312" w:eastAsia="仿宋_GB2312" w:cs="仿宋_GB2312"/>
          <w:color w:val="000000" w:themeColor="text1"/>
          <w:kern w:val="0"/>
          <w:sz w:val="31"/>
          <w:szCs w:val="3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项目执行及绩效实现情况</w:t>
      </w:r>
    </w:p>
    <w:p>
      <w:pPr>
        <w:numPr>
          <w:ilvl w:val="0"/>
          <w:numId w:val="0"/>
        </w:numPr>
        <w:ind w:firstLine="643" w:firstLineChars="200"/>
        <w:rPr>
          <w:rFonts w:hint="eastAsia" w:ascii="楷体" w:hAnsi="楷体" w:eastAsia="楷体" w:cs="楷体"/>
          <w:b/>
          <w:bCs/>
          <w:color w:val="000000" w:themeColor="text1"/>
          <w:kern w:val="0"/>
          <w:sz w:val="32"/>
          <w:szCs w:val="32"/>
          <w14:textFill>
            <w14:solidFill>
              <w14:schemeClr w14:val="tx1"/>
            </w14:solidFill>
          </w14:textFill>
        </w:rPr>
      </w:pPr>
      <w:r>
        <w:rPr>
          <w:rFonts w:hint="eastAsia" w:ascii="楷体" w:hAnsi="楷体" w:eastAsia="楷体" w:cs="楷体"/>
          <w:b/>
          <w:bCs/>
          <w:color w:val="000000" w:themeColor="text1"/>
          <w:sz w:val="32"/>
          <w:szCs w:val="32"/>
          <w:lang w:eastAsia="zh-CN"/>
          <w14:textFill>
            <w14:solidFill>
              <w14:schemeClr w14:val="tx1"/>
            </w14:solidFill>
          </w14:textFill>
        </w:rPr>
        <w:t>（一）</w:t>
      </w:r>
      <w:r>
        <w:rPr>
          <w:rFonts w:hint="eastAsia" w:ascii="楷体" w:hAnsi="楷体" w:eastAsia="楷体" w:cs="楷体"/>
          <w:b/>
          <w:bCs/>
          <w:color w:val="000000" w:themeColor="text1"/>
          <w:sz w:val="32"/>
          <w:szCs w:val="32"/>
          <w14:textFill>
            <w14:solidFill>
              <w14:schemeClr w14:val="tx1"/>
            </w14:solidFill>
          </w14:textFill>
        </w:rPr>
        <w:t>预算执行情况</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2019年，市轨道办将应拨付管廊项目的资金全部按时拨付给了嘉泰管廊公司，完成率为100%；同时，我们注意把控管廊项目的支出，严格控制在概算之内，坚决不能超出概算。根据指标体系评分标准计算，预算成本控制率分值为10分。</w:t>
      </w:r>
    </w:p>
    <w:p>
      <w:pPr>
        <w:keepNext w:val="0"/>
        <w:keepLines w:val="0"/>
        <w:pageBreakBefore w:val="0"/>
        <w:numPr>
          <w:ilvl w:val="0"/>
          <w:numId w:val="0"/>
        </w:numPr>
        <w:kinsoku/>
        <w:wordWrap/>
        <w:overflowPunct/>
        <w:topLinePunct w:val="0"/>
        <w:autoSpaceDE/>
        <w:autoSpaceDN/>
        <w:bidi w:val="0"/>
        <w:spacing w:line="620" w:lineRule="exact"/>
        <w:ind w:firstLine="643" w:firstLineChars="200"/>
        <w:textAlignment w:val="auto"/>
        <w:rPr>
          <w:rFonts w:hint="eastAsia" w:ascii="楷体" w:hAnsi="楷体" w:eastAsia="楷体" w:cs="楷体"/>
          <w:b/>
          <w:bCs/>
          <w:color w:val="000000" w:themeColor="text1"/>
          <w:sz w:val="32"/>
          <w:szCs w:val="32"/>
          <w14:textFill>
            <w14:solidFill>
              <w14:schemeClr w14:val="tx1"/>
            </w14:solidFill>
          </w14:textFill>
        </w:rPr>
      </w:pPr>
      <w:r>
        <w:rPr>
          <w:rFonts w:hint="eastAsia" w:ascii="楷体" w:hAnsi="楷体" w:eastAsia="楷体" w:cs="楷体"/>
          <w:b/>
          <w:bCs/>
          <w:color w:val="000000" w:themeColor="text1"/>
          <w:sz w:val="32"/>
          <w:szCs w:val="32"/>
          <w:lang w:eastAsia="zh-CN"/>
          <w14:textFill>
            <w14:solidFill>
              <w14:schemeClr w14:val="tx1"/>
            </w14:solidFill>
          </w14:textFill>
        </w:rPr>
        <w:t>（二）</w:t>
      </w:r>
      <w:r>
        <w:rPr>
          <w:rFonts w:hint="eastAsia" w:ascii="楷体" w:hAnsi="楷体" w:eastAsia="楷体" w:cs="楷体"/>
          <w:b/>
          <w:bCs/>
          <w:color w:val="000000" w:themeColor="text1"/>
          <w:sz w:val="32"/>
          <w:szCs w:val="32"/>
          <w14:textFill>
            <w14:solidFill>
              <w14:schemeClr w14:val="tx1"/>
            </w14:solidFill>
          </w14:textFill>
        </w:rPr>
        <w:t>项目产出</w:t>
      </w:r>
    </w:p>
    <w:p>
      <w:pPr>
        <w:keepNext w:val="0"/>
        <w:keepLines w:val="0"/>
        <w:pageBreakBefore w:val="0"/>
        <w:widowControl/>
        <w:numPr>
          <w:ilvl w:val="0"/>
          <w:numId w:val="0"/>
        </w:numPr>
        <w:kinsoku/>
        <w:wordWrap/>
        <w:overflowPunct/>
        <w:topLinePunct w:val="0"/>
        <w:autoSpaceDE/>
        <w:autoSpaceDN/>
        <w:bidi w:val="0"/>
        <w:spacing w:line="620" w:lineRule="exact"/>
        <w:ind w:firstLine="643" w:firstLineChars="200"/>
        <w:jc w:val="left"/>
        <w:textAlignment w:val="auto"/>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kern w:val="0"/>
          <w:sz w:val="32"/>
          <w:szCs w:val="32"/>
          <w14:textFill>
            <w14:solidFill>
              <w14:schemeClr w14:val="tx1"/>
            </w14:solidFill>
          </w14:textFill>
        </w:rPr>
        <w:t>工程按时完成率</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b w:val="0"/>
          <w:bCs w:val="0"/>
          <w:color w:val="000000" w:themeColor="text1"/>
          <w:kern w:val="0"/>
          <w:sz w:val="32"/>
          <w:szCs w:val="32"/>
          <w14:textFill>
            <w14:solidFill>
              <w14:schemeClr w14:val="tx1"/>
            </w14:solidFill>
          </w14:textFill>
        </w:rPr>
      </w:pPr>
      <w:r>
        <w:rPr>
          <w:rFonts w:ascii="仿宋_GB2312" w:hAnsi="仿宋_GB2312" w:eastAsia="仿宋_GB2312" w:cs="仿宋_GB2312"/>
          <w:b w:val="0"/>
          <w:bCs w:val="0"/>
          <w:color w:val="000000" w:themeColor="text1"/>
          <w:kern w:val="0"/>
          <w:sz w:val="32"/>
          <w:szCs w:val="32"/>
          <w14:textFill>
            <w14:solidFill>
              <w14:schemeClr w14:val="tx1"/>
            </w14:solidFill>
          </w14:textFill>
        </w:rPr>
        <w:t>依据</w:t>
      </w: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项目</w:t>
      </w:r>
      <w:r>
        <w:rPr>
          <w:rFonts w:ascii="仿宋_GB2312" w:hAnsi="仿宋_GB2312" w:eastAsia="仿宋_GB2312" w:cs="仿宋_GB2312"/>
          <w:b w:val="0"/>
          <w:bCs w:val="0"/>
          <w:color w:val="000000" w:themeColor="text1"/>
          <w:kern w:val="0"/>
          <w:sz w:val="32"/>
          <w:szCs w:val="32"/>
          <w14:textFill>
            <w14:solidFill>
              <w14:schemeClr w14:val="tx1"/>
            </w14:solidFill>
          </w14:textFill>
        </w:rPr>
        <w:t>施工</w:t>
      </w: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xml:space="preserve">进度情况，工程应于9月份竣工并开始运营。但是实际情况并未能完工并达到运营条件。主要是项目建设期内，受治霾减排等政府指令性停工影响，停工153天，使得工期出现顺延，按时完成率为95%。根据指标体系评分标准计算，工程按时完成率分值为11分。 </w:t>
      </w:r>
    </w:p>
    <w:p>
      <w:pPr>
        <w:keepNext w:val="0"/>
        <w:keepLines w:val="0"/>
        <w:pageBreakBefore w:val="0"/>
        <w:widowControl/>
        <w:numPr>
          <w:ilvl w:val="0"/>
          <w:numId w:val="0"/>
        </w:numPr>
        <w:kinsoku/>
        <w:wordWrap/>
        <w:overflowPunct/>
        <w:topLinePunct w:val="0"/>
        <w:autoSpaceDE/>
        <w:autoSpaceDN/>
        <w:bidi w:val="0"/>
        <w:spacing w:line="620" w:lineRule="exact"/>
        <w:ind w:firstLine="643" w:firstLineChars="200"/>
        <w:jc w:val="left"/>
        <w:textAlignment w:val="auto"/>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kern w:val="0"/>
          <w:sz w:val="32"/>
          <w:szCs w:val="32"/>
          <w14:textFill>
            <w14:solidFill>
              <w14:schemeClr w14:val="tx1"/>
            </w14:solidFill>
          </w14:textFill>
        </w:rPr>
        <w:t>资金拨付到位</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根据工程进度，为确保塔北路地下综合管廊建设进度，已将6567万元专项资金及时拨付至管廊公司。根据指标体系评分标准计算，资金拨付到位分值为14分。</w:t>
      </w:r>
    </w:p>
    <w:p>
      <w:pPr>
        <w:keepNext w:val="0"/>
        <w:keepLines w:val="0"/>
        <w:pageBreakBefore w:val="0"/>
        <w:widowControl/>
        <w:numPr>
          <w:ilvl w:val="0"/>
          <w:numId w:val="0"/>
        </w:numPr>
        <w:kinsoku/>
        <w:wordWrap/>
        <w:overflowPunct/>
        <w:topLinePunct w:val="0"/>
        <w:autoSpaceDE/>
        <w:autoSpaceDN/>
        <w:bidi w:val="0"/>
        <w:spacing w:line="620" w:lineRule="exact"/>
        <w:ind w:firstLine="643" w:firstLineChars="200"/>
        <w:jc w:val="left"/>
        <w:textAlignment w:val="auto"/>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kern w:val="0"/>
          <w:sz w:val="32"/>
          <w:szCs w:val="32"/>
          <w14:textFill>
            <w14:solidFill>
              <w14:schemeClr w14:val="tx1"/>
            </w14:solidFill>
          </w14:textFill>
        </w:rPr>
        <w:t>工程质量合格率</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依据监理单位等意见，工程质量合格率为100%。根据指标体系评分标准计算，工程量完成率分值为14分。</w:t>
      </w:r>
    </w:p>
    <w:p>
      <w:pPr>
        <w:keepNext w:val="0"/>
        <w:keepLines w:val="0"/>
        <w:pageBreakBefore w:val="0"/>
        <w:widowControl/>
        <w:numPr>
          <w:ilvl w:val="0"/>
          <w:numId w:val="0"/>
        </w:numPr>
        <w:kinsoku/>
        <w:wordWrap/>
        <w:overflowPunct/>
        <w:topLinePunct w:val="0"/>
        <w:autoSpaceDE/>
        <w:autoSpaceDN/>
        <w:bidi w:val="0"/>
        <w:spacing w:line="620" w:lineRule="exact"/>
        <w:ind w:firstLine="643" w:firstLineChars="200"/>
        <w:jc w:val="left"/>
        <w:textAlignment w:val="auto"/>
        <w:rPr>
          <w:rFonts w:hint="eastAsia" w:ascii="楷体" w:hAnsi="楷体" w:eastAsia="楷体" w:cs="楷体"/>
          <w:b/>
          <w:bCs/>
          <w:color w:val="000000" w:themeColor="text1"/>
          <w:kern w:val="0"/>
          <w:sz w:val="32"/>
          <w:szCs w:val="32"/>
          <w14:textFill>
            <w14:solidFill>
              <w14:schemeClr w14:val="tx1"/>
            </w14:solidFill>
          </w14:textFill>
        </w:rPr>
      </w:pPr>
      <w:r>
        <w:rPr>
          <w:rFonts w:hint="eastAsia" w:ascii="楷体" w:hAnsi="楷体" w:eastAsia="楷体" w:cs="楷体"/>
          <w:b/>
          <w:bCs/>
          <w:color w:val="000000" w:themeColor="text1"/>
          <w:kern w:val="0"/>
          <w:sz w:val="32"/>
          <w:szCs w:val="32"/>
          <w:lang w:eastAsia="zh-CN"/>
          <w14:textFill>
            <w14:solidFill>
              <w14:schemeClr w14:val="tx1"/>
            </w14:solidFill>
          </w14:textFill>
        </w:rPr>
        <w:t>（三）</w:t>
      </w:r>
      <w:r>
        <w:rPr>
          <w:rFonts w:hint="eastAsia" w:ascii="楷体" w:hAnsi="楷体" w:eastAsia="楷体" w:cs="楷体"/>
          <w:b/>
          <w:bCs/>
          <w:color w:val="000000" w:themeColor="text1"/>
          <w:kern w:val="0"/>
          <w:sz w:val="32"/>
          <w:szCs w:val="32"/>
          <w14:textFill>
            <w14:solidFill>
              <w14:schemeClr w14:val="tx1"/>
            </w14:solidFill>
          </w14:textFill>
        </w:rPr>
        <w:t>项目效益</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根据《通知》关于指标设置的要求，“若被评价项目不涉及服务对象满意度内容或因服务对象满意度获取难度较大、成本较高未能获取，则服务对象满意度的10分调入效益考核事项”，因此效益指标计算分值设置为50分。</w:t>
      </w:r>
    </w:p>
    <w:p>
      <w:pPr>
        <w:keepNext w:val="0"/>
        <w:keepLines w:val="0"/>
        <w:pageBreakBefore w:val="0"/>
        <w:widowControl/>
        <w:numPr>
          <w:ilvl w:val="0"/>
          <w:numId w:val="3"/>
        </w:numPr>
        <w:kinsoku/>
        <w:wordWrap/>
        <w:overflowPunct/>
        <w:topLinePunct w:val="0"/>
        <w:autoSpaceDE/>
        <w:autoSpaceDN/>
        <w:bidi w:val="0"/>
        <w:spacing w:line="620" w:lineRule="exact"/>
        <w:ind w:firstLine="643" w:firstLineChars="200"/>
        <w:jc w:val="left"/>
        <w:textAlignment w:val="auto"/>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14:textFill>
            <w14:solidFill>
              <w14:schemeClr w14:val="tx1"/>
            </w14:solidFill>
          </w14:textFill>
        </w:rPr>
        <w:t>专款专用</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根据工程进度，专款专用，发挥财政资本金最大效率。根据指标体系评分标准计算，工程按时完成率分值为17分。</w:t>
      </w:r>
    </w:p>
    <w:p>
      <w:pPr>
        <w:keepNext w:val="0"/>
        <w:keepLines w:val="0"/>
        <w:pageBreakBefore w:val="0"/>
        <w:widowControl/>
        <w:numPr>
          <w:ilvl w:val="0"/>
          <w:numId w:val="3"/>
        </w:numPr>
        <w:kinsoku/>
        <w:wordWrap/>
        <w:overflowPunct/>
        <w:topLinePunct w:val="0"/>
        <w:autoSpaceDE/>
        <w:autoSpaceDN/>
        <w:bidi w:val="0"/>
        <w:spacing w:line="620" w:lineRule="exact"/>
        <w:ind w:firstLine="643" w:firstLineChars="200"/>
        <w:jc w:val="left"/>
        <w:textAlignment w:val="auto"/>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14:textFill>
            <w14:solidFill>
              <w14:schemeClr w14:val="tx1"/>
            </w14:solidFill>
          </w14:textFill>
        </w:rPr>
        <w:t>按时试运营</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塔北路管廊全线4个盾构区段，已全部贯通，贯通区段的管廊二次结构和设备安装正在全面展开，受减排治理、扬尘治理、重污染天气预警等政府指令性停工影响，停工153天，使得工期出现顺延，无法按计划完成2019年9月试运营，总体完成率为95%。根据指标体系评分标准计算，按时试运营完成率分值为15分。</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w:t>
      </w:r>
      <w:r>
        <w:rPr>
          <w:rFonts w:hint="eastAsia" w:ascii="仿宋_GB2312" w:hAnsi="仿宋_GB2312" w:eastAsia="仿宋_GB2312" w:cs="仿宋_GB2312"/>
          <w:b/>
          <w:bCs/>
          <w:color w:val="000000" w:themeColor="text1"/>
          <w:kern w:val="0"/>
          <w:sz w:val="32"/>
          <w:szCs w:val="32"/>
          <w:highlight w:val="none"/>
          <w14:textFill>
            <w14:solidFill>
              <w14:schemeClr w14:val="tx1"/>
            </w14:solidFill>
          </w14:textFill>
        </w:rPr>
        <w:t>、安全性指标</w:t>
      </w:r>
    </w:p>
    <w:p>
      <w:pPr>
        <w:keepNext w:val="0"/>
        <w:keepLines w:val="0"/>
        <w:pageBreakBefore w:val="0"/>
        <w:widowControl/>
        <w:kinsoku/>
        <w:wordWrap/>
        <w:overflowPunct/>
        <w:topLinePunct w:val="0"/>
        <w:autoSpaceDE/>
        <w:autoSpaceDN/>
        <w:bidi w:val="0"/>
        <w:spacing w:line="620" w:lineRule="exact"/>
        <w:ind w:firstLine="640" w:firstLineChars="200"/>
        <w:jc w:val="left"/>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依据项目实施过程中，安全生产及监理意见对保障工作人员人身安全等指标进行考评。项目实施过程中，轨道办督促市地铁资源开发公司对项目进行安全生产等检查，充分保障工作人员人身安全，保证不出现安全事故。根据指标体系评分标准计算，安全性指标分值为17分。</w:t>
      </w:r>
    </w:p>
    <w:p>
      <w:pPr>
        <w:keepNext w:val="0"/>
        <w:keepLines w:val="0"/>
        <w:pageBreakBefore w:val="0"/>
        <w:kinsoku/>
        <w:wordWrap/>
        <w:overflowPunct/>
        <w:topLinePunct w:val="0"/>
        <w:autoSpaceDE/>
        <w:autoSpaceDN/>
        <w:bidi w:val="0"/>
        <w:spacing w:line="620" w:lineRule="exact"/>
        <w:ind w:firstLine="640" w:firstLineChars="200"/>
        <w:textAlignment w:val="auto"/>
        <w:rPr>
          <w:rFonts w:ascii="黑体" w:hAnsi="黑体" w:eastAsia="黑体"/>
          <w:b w:val="0"/>
          <w:bCs w:val="0"/>
          <w:color w:val="000000" w:themeColor="text1"/>
          <w:sz w:val="32"/>
          <w:szCs w:val="32"/>
          <w14:textFill>
            <w14:solidFill>
              <w14:schemeClr w14:val="tx1"/>
            </w14:solidFill>
          </w14:textFill>
        </w:rPr>
      </w:pPr>
      <w:r>
        <w:rPr>
          <w:rFonts w:hint="eastAsia" w:ascii="黑体" w:hAnsi="黑体" w:eastAsia="黑体"/>
          <w:b w:val="0"/>
          <w:bCs w:val="0"/>
          <w:color w:val="000000" w:themeColor="text1"/>
          <w:sz w:val="32"/>
          <w:szCs w:val="32"/>
          <w14:textFill>
            <w14:solidFill>
              <w14:schemeClr w14:val="tx1"/>
            </w14:solidFill>
          </w14:textFill>
        </w:rPr>
        <w:t>四、项目综合评价结论和评价等级</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项目具有明确的目标，项目实施过程中能够严格按照省市有关项目管理和资金管理规定执行，资金到位及时，使用得当。</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根据项目执行情况和项目绩效情况，</w:t>
      </w:r>
      <w:r>
        <w:rPr>
          <w:rFonts w:hint="eastAsia" w:ascii="仿宋_GB2312" w:hAnsi="仿宋_GB2312" w:eastAsia="仿宋_GB2312" w:cs="仿宋_GB2312"/>
          <w:color w:val="000000" w:themeColor="text1"/>
          <w:sz w:val="32"/>
          <w:szCs w:val="32"/>
          <w14:textFill>
            <w14:solidFill>
              <w14:schemeClr w14:val="tx1"/>
            </w14:solidFill>
          </w14:textFill>
        </w:rPr>
        <w:t>该项目工程资料完整、齐全，符合规定，该项目</w:t>
      </w:r>
      <w:r>
        <w:rPr>
          <w:rFonts w:hint="eastAsia" w:ascii="仿宋_GB2312" w:eastAsia="仿宋_GB2312"/>
          <w:color w:val="000000" w:themeColor="text1"/>
          <w:sz w:val="32"/>
          <w:szCs w:val="32"/>
          <w14:textFill>
            <w14:solidFill>
              <w14:schemeClr w14:val="tx1"/>
            </w14:solidFill>
          </w14:textFill>
        </w:rPr>
        <w:t>综合评定总得分98分，从评价情况看，评价结果为</w:t>
      </w:r>
      <w:r>
        <w:rPr>
          <w:rFonts w:hint="eastAsia" w:ascii="仿宋_GB2312" w:eastAsia="仿宋_GB2312"/>
          <w:color w:val="000000" w:themeColor="text1"/>
          <w:sz w:val="32"/>
          <w:szCs w:val="32"/>
          <w:lang w:eastAsia="zh-CN"/>
          <w14:textFill>
            <w14:solidFill>
              <w14:schemeClr w14:val="tx1"/>
            </w14:solidFill>
          </w14:textFill>
        </w:rPr>
        <w:t>优秀</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五、存在的问题及改进措施</w:t>
      </w:r>
    </w:p>
    <w:p>
      <w:pPr>
        <w:keepNext w:val="0"/>
        <w:keepLines w:val="0"/>
        <w:pageBreakBefore w:val="0"/>
        <w:kinsoku/>
        <w:wordWrap/>
        <w:overflowPunct/>
        <w:topLinePunct w:val="0"/>
        <w:autoSpaceDE/>
        <w:autoSpaceDN/>
        <w:bidi w:val="0"/>
        <w:spacing w:line="620" w:lineRule="exact"/>
        <w:textAlignment w:val="auto"/>
        <w:rPr>
          <w:rFonts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b/>
          <w:bCs/>
          <w:color w:val="000000" w:themeColor="text1"/>
          <w:sz w:val="32"/>
          <w:szCs w:val="32"/>
          <w14:textFill>
            <w14:solidFill>
              <w14:schemeClr w14:val="tx1"/>
            </w14:solidFill>
          </w14:textFill>
        </w:rPr>
        <w:t xml:space="preserve">   </w:t>
      </w:r>
      <w:r>
        <w:rPr>
          <w:rFonts w:hint="eastAsia" w:ascii="楷体_GB2312" w:hAnsi="楷体_GB2312" w:eastAsia="楷体_GB2312"/>
          <w:b/>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b/>
          <w:bCs/>
          <w:color w:val="000000" w:themeColor="text1"/>
          <w:sz w:val="32"/>
          <w:szCs w:val="32"/>
          <w14:textFill>
            <w14:solidFill>
              <w14:schemeClr w14:val="tx1"/>
            </w14:solidFill>
          </w14:textFill>
        </w:rPr>
        <w:t>（一）项目存在的主要问题</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1）塔北路</w:t>
      </w:r>
      <w:r>
        <w:rPr>
          <w:rFonts w:hint="eastAsia" w:ascii="仿宋_GB2312" w:eastAsia="仿宋_GB2312"/>
          <w:color w:val="000000" w:themeColor="text1"/>
          <w:sz w:val="32"/>
          <w:szCs w:val="32"/>
          <w14:textFill>
            <w14:solidFill>
              <w14:schemeClr w14:val="tx1"/>
            </w14:solidFill>
          </w14:textFill>
        </w:rPr>
        <w:t>地处</w:t>
      </w:r>
      <w:r>
        <w:rPr>
          <w:rFonts w:ascii="仿宋_GB2312" w:eastAsia="仿宋_GB2312"/>
          <w:color w:val="000000" w:themeColor="text1"/>
          <w:sz w:val="32"/>
          <w:szCs w:val="32"/>
          <w14:textFill>
            <w14:solidFill>
              <w14:schemeClr w14:val="tx1"/>
            </w14:solidFill>
          </w14:textFill>
        </w:rPr>
        <w:t>老城区</w:t>
      </w:r>
      <w:r>
        <w:rPr>
          <w:rFonts w:hint="eastAsia" w:ascii="仿宋_GB2312" w:eastAsia="仿宋_GB2312"/>
          <w:color w:val="000000" w:themeColor="text1"/>
          <w:sz w:val="32"/>
          <w:szCs w:val="32"/>
          <w14:textFill>
            <w14:solidFill>
              <w14:schemeClr w14:val="tx1"/>
            </w14:solidFill>
          </w14:textFill>
        </w:rPr>
        <w:t>，地下</w:t>
      </w:r>
      <w:r>
        <w:rPr>
          <w:rFonts w:ascii="仿宋_GB2312" w:eastAsia="仿宋_GB2312"/>
          <w:color w:val="000000" w:themeColor="text1"/>
          <w:sz w:val="32"/>
          <w:szCs w:val="32"/>
          <w14:textFill>
            <w14:solidFill>
              <w14:schemeClr w14:val="tx1"/>
            </w14:solidFill>
          </w14:textFill>
        </w:rPr>
        <w:t>既有管线错综复杂</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沿线</w:t>
      </w:r>
      <w:r>
        <w:rPr>
          <w:rFonts w:hint="eastAsia" w:ascii="仿宋_GB2312" w:eastAsia="仿宋_GB2312"/>
          <w:color w:val="000000" w:themeColor="text1"/>
          <w:sz w:val="32"/>
          <w:szCs w:val="32"/>
          <w14:textFill>
            <w14:solidFill>
              <w14:schemeClr w14:val="tx1"/>
            </w14:solidFill>
          </w14:textFill>
        </w:rPr>
        <w:t>建筑</w:t>
      </w:r>
      <w:r>
        <w:rPr>
          <w:rFonts w:ascii="仿宋_GB2312" w:eastAsia="仿宋_GB2312"/>
          <w:color w:val="000000" w:themeColor="text1"/>
          <w:sz w:val="32"/>
          <w:szCs w:val="32"/>
          <w14:textFill>
            <w14:solidFill>
              <w14:schemeClr w14:val="tx1"/>
            </w14:solidFill>
          </w14:textFill>
        </w:rPr>
        <w:t>密集</w:t>
      </w:r>
      <w:r>
        <w:rPr>
          <w:rFonts w:hint="eastAsia" w:ascii="仿宋_GB2312" w:eastAsia="仿宋_GB2312"/>
          <w:color w:val="000000" w:themeColor="text1"/>
          <w:sz w:val="32"/>
          <w:szCs w:val="32"/>
          <w14:textFill>
            <w14:solidFill>
              <w14:schemeClr w14:val="tx1"/>
            </w14:solidFill>
          </w14:textFill>
        </w:rPr>
        <w:t>，拆迁和管线迁改量大，拆迁和管线迁改进度迟缓极大</w:t>
      </w:r>
      <w:r>
        <w:rPr>
          <w:rFonts w:hint="eastAsia" w:ascii="仿宋_GB2312" w:eastAsia="仿宋_GB2312"/>
          <w:color w:val="000000" w:themeColor="text1"/>
          <w:sz w:val="32"/>
          <w:szCs w:val="32"/>
          <w:lang w:eastAsia="zh-CN"/>
          <w14:textFill>
            <w14:solidFill>
              <w14:schemeClr w14:val="tx1"/>
            </w14:solidFill>
          </w14:textFill>
        </w:rPr>
        <w:t>地</w:t>
      </w:r>
      <w:r>
        <w:rPr>
          <w:rFonts w:hint="eastAsia" w:ascii="仿宋_GB2312" w:eastAsia="仿宋_GB2312"/>
          <w:color w:val="000000" w:themeColor="text1"/>
          <w:sz w:val="32"/>
          <w:szCs w:val="32"/>
          <w14:textFill>
            <w14:solidFill>
              <w14:schemeClr w14:val="tx1"/>
            </w14:solidFill>
          </w14:textFill>
        </w:rPr>
        <w:t>影响了管廊建设方案稳定和管廊建设的总体推进。</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（2）塔北路管廊受地下空间限制，</w:t>
      </w:r>
      <w:r>
        <w:rPr>
          <w:rFonts w:ascii="仿宋_GB2312" w:eastAsia="仿宋_GB2312"/>
          <w:color w:val="000000" w:themeColor="text1"/>
          <w:sz w:val="32"/>
          <w:szCs w:val="32"/>
          <w14:textFill>
            <w14:solidFill>
              <w14:schemeClr w14:val="tx1"/>
            </w14:solidFill>
          </w14:textFill>
        </w:rPr>
        <w:t>沿线需下穿地铁车站风道</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出入口</w:t>
      </w:r>
      <w:r>
        <w:rPr>
          <w:rFonts w:hint="eastAsia" w:ascii="仿宋_GB2312" w:eastAsia="仿宋_GB2312"/>
          <w:color w:val="000000" w:themeColor="text1"/>
          <w:sz w:val="32"/>
          <w:szCs w:val="32"/>
          <w14:textFill>
            <w14:solidFill>
              <w14:schemeClr w14:val="tx1"/>
            </w14:solidFill>
          </w14:textFill>
        </w:rPr>
        <w:t>和规划地铁4号线</w:t>
      </w:r>
      <w:r>
        <w:rPr>
          <w:rFonts w:ascii="仿宋_GB2312" w:eastAsia="仿宋_GB2312"/>
          <w:color w:val="000000" w:themeColor="text1"/>
          <w:sz w:val="32"/>
          <w:szCs w:val="32"/>
          <w14:textFill>
            <w14:solidFill>
              <w14:schemeClr w14:val="tx1"/>
            </w14:solidFill>
          </w14:textFill>
        </w:rPr>
        <w:t>，因</w:t>
      </w:r>
      <w:r>
        <w:rPr>
          <w:rFonts w:hint="eastAsia" w:ascii="仿宋_GB2312" w:eastAsia="仿宋_GB2312"/>
          <w:color w:val="000000" w:themeColor="text1"/>
          <w:sz w:val="32"/>
          <w:szCs w:val="32"/>
          <w14:textFill>
            <w14:solidFill>
              <w14:schemeClr w14:val="tx1"/>
            </w14:solidFill>
          </w14:textFill>
        </w:rPr>
        <w:t>管廊和地铁</w:t>
      </w:r>
      <w:r>
        <w:rPr>
          <w:rFonts w:ascii="仿宋_GB2312" w:eastAsia="仿宋_GB2312"/>
          <w:color w:val="000000" w:themeColor="text1"/>
          <w:sz w:val="32"/>
          <w:szCs w:val="32"/>
          <w14:textFill>
            <w14:solidFill>
              <w14:schemeClr w14:val="tx1"/>
            </w14:solidFill>
          </w14:textFill>
        </w:rPr>
        <w:t>工期</w:t>
      </w:r>
      <w:r>
        <w:rPr>
          <w:rFonts w:hint="eastAsia" w:ascii="仿宋_GB2312" w:eastAsia="仿宋_GB2312"/>
          <w:color w:val="000000" w:themeColor="text1"/>
          <w:sz w:val="32"/>
          <w:szCs w:val="32"/>
          <w14:textFill>
            <w14:solidFill>
              <w14:schemeClr w14:val="tx1"/>
            </w14:solidFill>
          </w14:textFill>
        </w:rPr>
        <w:t>，建设</w:t>
      </w:r>
      <w:r>
        <w:rPr>
          <w:rFonts w:ascii="仿宋_GB2312" w:eastAsia="仿宋_GB2312"/>
          <w:color w:val="000000" w:themeColor="text1"/>
          <w:sz w:val="32"/>
          <w:szCs w:val="32"/>
          <w14:textFill>
            <w14:solidFill>
              <w14:schemeClr w14:val="tx1"/>
            </w14:solidFill>
          </w14:textFill>
        </w:rPr>
        <w:t>时序</w:t>
      </w:r>
      <w:r>
        <w:rPr>
          <w:rFonts w:hint="eastAsia" w:ascii="仿宋_GB2312" w:eastAsia="仿宋_GB2312"/>
          <w:color w:val="000000" w:themeColor="text1"/>
          <w:sz w:val="32"/>
          <w:szCs w:val="32"/>
          <w14:textFill>
            <w14:solidFill>
              <w14:schemeClr w14:val="tx1"/>
            </w14:solidFill>
          </w14:textFill>
        </w:rPr>
        <w:t>要求不一致</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两者相互干扰、相互影响，造成管廊建设难度加大，成本也大幅增加</w:t>
      </w:r>
      <w:r>
        <w:rPr>
          <w:rFonts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（3）管廊建设期间，只有规划入廊管线数量和规格，</w:t>
      </w:r>
      <w:r>
        <w:rPr>
          <w:rFonts w:ascii="仿宋_GB2312" w:eastAsia="仿宋_GB2312"/>
          <w:color w:val="000000" w:themeColor="text1"/>
          <w:sz w:val="32"/>
          <w:szCs w:val="32"/>
          <w14:textFill>
            <w14:solidFill>
              <w14:schemeClr w14:val="tx1"/>
            </w14:solidFill>
          </w14:textFill>
        </w:rPr>
        <w:t>入廊管线产权单位</w:t>
      </w:r>
      <w:r>
        <w:rPr>
          <w:rFonts w:hint="eastAsia" w:ascii="仿宋_GB2312" w:eastAsia="仿宋_GB2312"/>
          <w:color w:val="000000" w:themeColor="text1"/>
          <w:sz w:val="32"/>
          <w:szCs w:val="32"/>
          <w14:textFill>
            <w14:solidFill>
              <w14:schemeClr w14:val="tx1"/>
            </w14:solidFill>
          </w14:textFill>
        </w:rPr>
        <w:t>不明确，建设单位无法与</w:t>
      </w:r>
      <w:r>
        <w:rPr>
          <w:rFonts w:ascii="仿宋_GB2312" w:eastAsia="仿宋_GB2312"/>
          <w:color w:val="000000" w:themeColor="text1"/>
          <w:sz w:val="32"/>
          <w:szCs w:val="32"/>
          <w14:textFill>
            <w14:solidFill>
              <w14:schemeClr w14:val="tx1"/>
            </w14:solidFill>
          </w14:textFill>
        </w:rPr>
        <w:t>入廊管线产权单位进行充分的沟通，</w:t>
      </w:r>
      <w:r>
        <w:rPr>
          <w:rFonts w:hint="eastAsia" w:ascii="仿宋_GB2312" w:eastAsia="仿宋_GB2312"/>
          <w:color w:val="000000" w:themeColor="text1"/>
          <w:sz w:val="32"/>
          <w:szCs w:val="32"/>
          <w14:textFill>
            <w14:solidFill>
              <w14:schemeClr w14:val="tx1"/>
            </w14:solidFill>
          </w14:textFill>
        </w:rPr>
        <w:t>了解和掌握</w:t>
      </w:r>
      <w:r>
        <w:rPr>
          <w:rFonts w:ascii="仿宋_GB2312" w:eastAsia="仿宋_GB2312"/>
          <w:color w:val="000000" w:themeColor="text1"/>
          <w:sz w:val="32"/>
          <w:szCs w:val="32"/>
          <w14:textFill>
            <w14:solidFill>
              <w14:schemeClr w14:val="tx1"/>
            </w14:solidFill>
          </w14:textFill>
        </w:rPr>
        <w:t>入廊管线的产权</w:t>
      </w:r>
      <w:r>
        <w:rPr>
          <w:rFonts w:hint="eastAsia" w:ascii="仿宋_GB2312" w:eastAsia="仿宋_GB2312"/>
          <w:color w:val="000000" w:themeColor="text1"/>
          <w:sz w:val="32"/>
          <w:szCs w:val="32"/>
          <w:lang w:eastAsia="zh-CN"/>
          <w14:textFill>
            <w14:solidFill>
              <w14:schemeClr w14:val="tx1"/>
            </w14:solidFill>
          </w14:textFill>
        </w:rPr>
        <w:t>单位</w:t>
      </w:r>
      <w:r>
        <w:rPr>
          <w:rFonts w:hint="eastAsia" w:ascii="仿宋_GB2312" w:eastAsia="仿宋_GB2312"/>
          <w:color w:val="000000" w:themeColor="text1"/>
          <w:sz w:val="32"/>
          <w:szCs w:val="32"/>
          <w14:textFill>
            <w14:solidFill>
              <w14:schemeClr w14:val="tx1"/>
            </w14:solidFill>
          </w14:textFill>
        </w:rPr>
        <w:t>对管廊建设的相关要求</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影响管廊建设的准确和完整性</w:t>
      </w:r>
      <w:r>
        <w:rPr>
          <w:rFonts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管廊沿线既有管线强制入廊问题</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目前塔北路地下既有管线种类齐全，且均处于正常运营状态。管廊修建后，如何强制入廊是后续重点考虑的问题，若动员正常使用的管线强制入廊，一方面会造成一定的社会资源浪费，另一方面也会引起各产权单位对征收入廊费的意见，如何协调解决该问题，顺利实现管线入廊，是即将面临的一个重要问题。</w:t>
      </w:r>
    </w:p>
    <w:p>
      <w:pPr>
        <w:keepNext w:val="0"/>
        <w:keepLines w:val="0"/>
        <w:pageBreakBefore w:val="0"/>
        <w:kinsoku/>
        <w:wordWrap/>
        <w:overflowPunct/>
        <w:topLinePunct w:val="0"/>
        <w:autoSpaceDE/>
        <w:autoSpaceDN/>
        <w:bidi w:val="0"/>
        <w:spacing w:line="620" w:lineRule="exact"/>
        <w:textAlignment w:val="auto"/>
        <w:rPr>
          <w:rFonts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 xml:space="preserve">  </w:t>
      </w:r>
      <w:r>
        <w:rPr>
          <w:rFonts w:hint="eastAsia" w:ascii="楷体_GB2312" w:hAnsi="楷体_GB2312" w:eastAsia="楷体_GB2312"/>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b/>
          <w:bCs/>
          <w:color w:val="000000" w:themeColor="text1"/>
          <w:sz w:val="32"/>
          <w:szCs w:val="32"/>
          <w14:textFill>
            <w14:solidFill>
              <w14:schemeClr w14:val="tx1"/>
            </w14:solidFill>
          </w14:textFill>
        </w:rPr>
        <w:t xml:space="preserve"> （二）针对问题提出具体的改进措施或建议</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对项目建设工作分工的建议</w:t>
      </w:r>
    </w:p>
    <w:p>
      <w:pPr>
        <w:keepNext w:val="0"/>
        <w:keepLines w:val="0"/>
        <w:pageBreakBefore w:val="0"/>
        <w:kinsoku/>
        <w:wordWrap/>
        <w:overflowPunct/>
        <w:topLinePunct w:val="0"/>
        <w:autoSpaceDE/>
        <w:autoSpaceDN/>
        <w:bidi w:val="0"/>
        <w:spacing w:line="620" w:lineRule="exact"/>
        <w:ind w:firstLine="640" w:firstLineChars="200"/>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政工程建设进展受征拆和管线迁改影响较大，在项目具体实施中，由于PPP项目公司不具备政府的行政执行力，推动管线迁改难度较大，往往进度慢，费用高，在PPP项目建设中，建议能充分发挥政府行政执行力优势，</w:t>
      </w:r>
      <w:r>
        <w:rPr>
          <w:rFonts w:hint="eastAsia" w:ascii="仿宋_GB2312" w:eastAsia="仿宋_GB2312"/>
          <w:color w:val="000000" w:themeColor="text1"/>
          <w:sz w:val="32"/>
          <w:szCs w:val="32"/>
          <w:lang w:eastAsia="zh-CN"/>
          <w14:textFill>
            <w14:solidFill>
              <w14:schemeClr w14:val="tx1"/>
            </w14:solidFill>
          </w14:textFill>
        </w:rPr>
        <w:t>理顺机制体制，由</w:t>
      </w:r>
      <w:r>
        <w:rPr>
          <w:rFonts w:hint="eastAsia" w:ascii="仿宋_GB2312" w:eastAsia="仿宋_GB2312"/>
          <w:color w:val="000000" w:themeColor="text1"/>
          <w:sz w:val="32"/>
          <w:szCs w:val="32"/>
          <w:lang w:val="en-US" w:eastAsia="zh-CN"/>
          <w14:textFill>
            <w14:solidFill>
              <w14:schemeClr w14:val="tx1"/>
            </w14:solidFill>
          </w14:textFill>
        </w:rPr>
        <w:t>行业主管部门</w:t>
      </w:r>
      <w:r>
        <w:rPr>
          <w:rFonts w:hint="eastAsia" w:ascii="仿宋_GB2312" w:eastAsia="仿宋_GB2312"/>
          <w:color w:val="000000" w:themeColor="text1"/>
          <w:sz w:val="32"/>
          <w:szCs w:val="32"/>
          <w:lang w:eastAsia="zh-CN"/>
          <w14:textFill>
            <w14:solidFill>
              <w14:schemeClr w14:val="tx1"/>
            </w14:solidFill>
          </w14:textFill>
        </w:rPr>
        <w:t>组织建设，</w:t>
      </w:r>
      <w:r>
        <w:rPr>
          <w:rFonts w:hint="eastAsia" w:ascii="仿宋_GB2312" w:eastAsia="仿宋_GB2312"/>
          <w:color w:val="000000" w:themeColor="text1"/>
          <w:sz w:val="32"/>
          <w:szCs w:val="32"/>
          <w:lang w:val="en-US" w:eastAsia="zh-CN"/>
          <w14:textFill>
            <w14:solidFill>
              <w14:schemeClr w14:val="tx1"/>
            </w14:solidFill>
          </w14:textFill>
        </w:rPr>
        <w:t>统一验收，</w:t>
      </w:r>
      <w:r>
        <w:rPr>
          <w:rFonts w:hint="eastAsia" w:ascii="仿宋_GB2312" w:eastAsia="仿宋_GB2312"/>
          <w:color w:val="000000" w:themeColor="text1"/>
          <w:sz w:val="32"/>
          <w:szCs w:val="32"/>
          <w:lang w:eastAsia="zh-CN"/>
          <w14:textFill>
            <w14:solidFill>
              <w14:schemeClr w14:val="tx1"/>
            </w14:solidFill>
          </w14:textFill>
        </w:rPr>
        <w:t>及后续的管廊运营管理，达到降低成本，规范运作。</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建议</w:t>
      </w:r>
      <w:r>
        <w:rPr>
          <w:rFonts w:hint="eastAsia" w:ascii="仿宋_GB2312" w:eastAsia="仿宋_GB2312"/>
          <w:color w:val="000000" w:themeColor="text1"/>
          <w:sz w:val="32"/>
          <w:szCs w:val="32"/>
          <w:highlight w:val="none"/>
          <w:lang w:eastAsia="zh-CN"/>
          <w14:textFill>
            <w14:solidFill>
              <w14:schemeClr w14:val="tx1"/>
            </w14:solidFill>
          </w14:textFill>
        </w:rPr>
        <w:t>建成</w:t>
      </w:r>
      <w:r>
        <w:rPr>
          <w:rFonts w:hint="eastAsia" w:ascii="仿宋_GB2312" w:eastAsia="仿宋_GB2312"/>
          <w:color w:val="000000" w:themeColor="text1"/>
          <w:sz w:val="32"/>
          <w:szCs w:val="32"/>
          <w:highlight w:val="none"/>
          <w14:textFill>
            <w14:solidFill>
              <w14:schemeClr w14:val="tx1"/>
            </w14:solidFill>
          </w14:textFill>
        </w:rPr>
        <w:t>区管廊</w:t>
      </w:r>
      <w:r>
        <w:rPr>
          <w:rFonts w:hint="eastAsia" w:ascii="仿宋_GB2312" w:eastAsia="仿宋_GB2312"/>
          <w:color w:val="000000" w:themeColor="text1"/>
          <w:sz w:val="32"/>
          <w:szCs w:val="32"/>
          <w:highlight w:val="none"/>
          <w:lang w:eastAsia="zh-CN"/>
          <w14:textFill>
            <w14:solidFill>
              <w14:schemeClr w14:val="tx1"/>
            </w14:solidFill>
          </w14:textFill>
        </w:rPr>
        <w:t>建设统筹规划</w:t>
      </w:r>
      <w:r>
        <w:rPr>
          <w:rFonts w:hint="eastAsia" w:ascii="仿宋_GB2312" w:eastAsia="仿宋_GB2312"/>
          <w:color w:val="000000" w:themeColor="text1"/>
          <w:sz w:val="32"/>
          <w:szCs w:val="32"/>
          <w:highlight w:val="none"/>
          <w:lang w:val="en-US" w:eastAsia="zh-CN"/>
          <w14:textFill>
            <w14:solidFill>
              <w14:schemeClr w14:val="tx1"/>
            </w14:solidFill>
          </w14:textFill>
        </w:rPr>
        <w:t>,合理布局，发挥综合管廊的作用</w:t>
      </w:r>
    </w:p>
    <w:p>
      <w:pPr>
        <w:keepNext w:val="0"/>
        <w:keepLines w:val="0"/>
        <w:pageBreakBefore w:val="0"/>
        <w:kinsoku/>
        <w:wordWrap/>
        <w:overflowPunct/>
        <w:topLinePunct w:val="0"/>
        <w:autoSpaceDE/>
        <w:autoSpaceDN/>
        <w:bidi w:val="0"/>
        <w:spacing w:line="62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一是管廊规划建设应以城市整体规划，在重点区域和重点交通性干道上实现，要统筹规划，合理布局，发挥最大作用和综合经济效益。二是对老城区及管线已按规划完成的沿线道路及管线，实施前应详细论证，避免重复投资建设。三是</w:t>
      </w:r>
      <w:r>
        <w:rPr>
          <w:rFonts w:hint="eastAsia" w:ascii="仿宋_GB2312" w:eastAsia="仿宋_GB2312"/>
          <w:color w:val="000000" w:themeColor="text1"/>
          <w:sz w:val="32"/>
          <w:szCs w:val="32"/>
          <w14:textFill>
            <w14:solidFill>
              <w14:schemeClr w14:val="tx1"/>
            </w14:solidFill>
          </w14:textFill>
        </w:rPr>
        <w:t>管廊与地铁分属不同行业，规范要求不一致，建设时序也不同</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地铁作为城市主干交通网，安全要求高，管廊建设乃至后续的运营，势必加大地铁建设和后续运行风险。</w:t>
      </w:r>
      <w:r>
        <w:rPr>
          <w:rFonts w:hint="eastAsia" w:ascii="仿宋_GB2312" w:eastAsia="仿宋_GB2312"/>
          <w:color w:val="000000" w:themeColor="text1"/>
          <w:sz w:val="32"/>
          <w:szCs w:val="32"/>
          <w:lang w:eastAsia="zh-CN"/>
          <w14:textFill>
            <w14:solidFill>
              <w14:schemeClr w14:val="tx1"/>
            </w14:solidFill>
          </w14:textFill>
        </w:rPr>
        <w:t>四是</w:t>
      </w:r>
      <w:r>
        <w:rPr>
          <w:rFonts w:hint="eastAsia" w:ascii="仿宋_GB2312" w:eastAsia="仿宋_GB2312"/>
          <w:color w:val="000000" w:themeColor="text1"/>
          <w:sz w:val="32"/>
          <w:szCs w:val="32"/>
          <w14:textFill>
            <w14:solidFill>
              <w14:schemeClr w14:val="tx1"/>
            </w14:solidFill>
          </w14:textFill>
        </w:rPr>
        <w:t>管廊与地铁并线建设，势必造成部分工程相互交叉，如管廊下穿地铁附属工程，管廊支线上穿地铁主体，管廊出线井难以避免</w:t>
      </w:r>
      <w:r>
        <w:rPr>
          <w:rFonts w:hint="eastAsia" w:ascii="仿宋_GB2312" w:eastAsia="仿宋_GB2312"/>
          <w:color w:val="000000" w:themeColor="text1"/>
          <w:sz w:val="32"/>
          <w:szCs w:val="32"/>
          <w:lang w:eastAsia="zh-CN"/>
          <w14:textFill>
            <w14:solidFill>
              <w14:schemeClr w14:val="tx1"/>
            </w14:solidFill>
          </w14:textFill>
        </w:rPr>
        <w:t>地</w:t>
      </w:r>
      <w:r>
        <w:rPr>
          <w:rFonts w:hint="eastAsia" w:ascii="仿宋_GB2312" w:eastAsia="仿宋_GB2312"/>
          <w:color w:val="000000" w:themeColor="text1"/>
          <w:sz w:val="32"/>
          <w:szCs w:val="32"/>
          <w14:textFill>
            <w14:solidFill>
              <w14:schemeClr w14:val="tx1"/>
            </w14:solidFill>
          </w14:textFill>
        </w:rPr>
        <w:t>与地铁附属工程选址重叠等，造成相互影响和干扰，建设方案可选择优化的空间小，相互结合调整，延长了建设周期，同时加大了建设成本，对整体城市建设不利。</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既有管线入廊问题建议</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是要求必须强制入廊，这样既可以避免城市建设中对既有管线的反复迁改，同时也避免新建管廊闲置，造成更大的资源浪费；二是政府对既有管线残值进行全额补偿，促进现有管线入廊；三是设定期限，对积极入廊的产权单位进行奖励，提高产权单位入廊积极性。</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与入廊管线产权单位的沟通建议</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在管廊建设过程中，由政府牵头组织各</w:t>
      </w:r>
      <w:r>
        <w:rPr>
          <w:rFonts w:ascii="仿宋_GB2312" w:eastAsia="仿宋_GB2312"/>
          <w:color w:val="000000" w:themeColor="text1"/>
          <w:sz w:val="32"/>
          <w:szCs w:val="32"/>
          <w14:textFill>
            <w14:solidFill>
              <w14:schemeClr w14:val="tx1"/>
            </w14:solidFill>
          </w14:textFill>
        </w:rPr>
        <w:t>入廊管线产权单位</w:t>
      </w:r>
      <w:r>
        <w:rPr>
          <w:rFonts w:hint="eastAsia" w:ascii="仿宋_GB2312" w:eastAsia="仿宋_GB2312"/>
          <w:color w:val="000000" w:themeColor="text1"/>
          <w:sz w:val="32"/>
          <w:szCs w:val="32"/>
          <w14:textFill>
            <w14:solidFill>
              <w14:schemeClr w14:val="tx1"/>
            </w14:solidFill>
          </w14:textFill>
        </w:rPr>
        <w:t>专业技术人员参与管廊建设，尽早明确各项入廊需求；建设单位组织设计与</w:t>
      </w:r>
      <w:r>
        <w:rPr>
          <w:rFonts w:ascii="仿宋_GB2312" w:eastAsia="仿宋_GB2312"/>
          <w:color w:val="000000" w:themeColor="text1"/>
          <w:sz w:val="32"/>
          <w:szCs w:val="32"/>
          <w14:textFill>
            <w14:solidFill>
              <w14:schemeClr w14:val="tx1"/>
            </w14:solidFill>
          </w14:textFill>
        </w:rPr>
        <w:t>入廊管线产权单位</w:t>
      </w:r>
      <w:r>
        <w:rPr>
          <w:rFonts w:hint="eastAsia" w:ascii="仿宋_GB2312" w:eastAsia="仿宋_GB2312"/>
          <w:color w:val="000000" w:themeColor="text1"/>
          <w:sz w:val="32"/>
          <w:szCs w:val="32"/>
          <w14:textFill>
            <w14:solidFill>
              <w14:schemeClr w14:val="tx1"/>
            </w14:solidFill>
          </w14:textFill>
        </w:rPr>
        <w:t>技术人员</w:t>
      </w:r>
      <w:r>
        <w:rPr>
          <w:rFonts w:ascii="仿宋_GB2312" w:eastAsia="仿宋_GB2312"/>
          <w:color w:val="000000" w:themeColor="text1"/>
          <w:sz w:val="32"/>
          <w:szCs w:val="32"/>
          <w14:textFill>
            <w14:solidFill>
              <w14:schemeClr w14:val="tx1"/>
            </w14:solidFill>
          </w14:textFill>
        </w:rPr>
        <w:t>进行充分的沟通，</w:t>
      </w:r>
      <w:r>
        <w:rPr>
          <w:rFonts w:hint="eastAsia" w:ascii="仿宋_GB2312" w:eastAsia="仿宋_GB2312"/>
          <w:color w:val="000000" w:themeColor="text1"/>
          <w:sz w:val="32"/>
          <w:szCs w:val="32"/>
          <w14:textFill>
            <w14:solidFill>
              <w14:schemeClr w14:val="tx1"/>
            </w14:solidFill>
          </w14:textFill>
        </w:rPr>
        <w:t>了解和掌握</w:t>
      </w:r>
      <w:r>
        <w:rPr>
          <w:rFonts w:ascii="仿宋_GB2312" w:eastAsia="仿宋_GB2312"/>
          <w:color w:val="000000" w:themeColor="text1"/>
          <w:sz w:val="32"/>
          <w:szCs w:val="32"/>
          <w14:textFill>
            <w14:solidFill>
              <w14:schemeClr w14:val="tx1"/>
            </w14:solidFill>
          </w14:textFill>
        </w:rPr>
        <w:t>入廊管线的产权</w:t>
      </w:r>
      <w:r>
        <w:rPr>
          <w:rFonts w:hint="eastAsia" w:ascii="仿宋_GB2312" w:eastAsia="仿宋_GB2312"/>
          <w:color w:val="000000" w:themeColor="text1"/>
          <w:sz w:val="32"/>
          <w:szCs w:val="32"/>
          <w14:textFill>
            <w14:solidFill>
              <w14:schemeClr w14:val="tx1"/>
            </w14:solidFill>
          </w14:textFill>
        </w:rPr>
        <w:t>单位对管廊建设的相关要求</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进而完善管廊建设的设计方案，尽早稳定设计，并减少后续设计调整和结构修改</w:t>
      </w:r>
      <w:r>
        <w:rPr>
          <w:rFonts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积极采取措施，在重污染天气短暂解除的时候抓紧协调施工单位推进工程进度，奋力加快工程建设的同时坚决确保质量安全和资金保障。</w:t>
      </w:r>
    </w:p>
    <w:p>
      <w:pPr>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br w:type="page"/>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auto"/>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黑体" w:eastAsia="黑体"/>
          <w:color w:val="000000" w:themeColor="text1"/>
          <w:sz w:val="32"/>
          <w:szCs w:val="32"/>
          <w:lang w:eastAsia="zh-CN"/>
          <w14:textFill>
            <w14:solidFill>
              <w14:schemeClr w14:val="tx1"/>
            </w14:solidFill>
          </w14:textFill>
        </w:rPr>
        <w:t>六、</w:t>
      </w:r>
      <w:r>
        <w:rPr>
          <w:rFonts w:hint="eastAsia" w:ascii="黑体" w:eastAsia="黑体"/>
          <w:color w:val="000000" w:themeColor="text1"/>
          <w:sz w:val="32"/>
          <w:szCs w:val="32"/>
          <w14:textFill>
            <w14:solidFill>
              <w14:schemeClr w14:val="tx1"/>
            </w14:solidFill>
          </w14:textFill>
        </w:rPr>
        <w:t>评价工作组人员名单及签字</w:t>
      </w:r>
    </w:p>
    <w:tbl>
      <w:tblPr>
        <w:tblStyle w:val="6"/>
        <w:tblW w:w="8820" w:type="dxa"/>
        <w:tblInd w:w="-1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5"/>
        <w:gridCol w:w="2455"/>
        <w:gridCol w:w="3170"/>
        <w:gridCol w:w="1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15" w:type="dxa"/>
            <w:vAlign w:val="bottom"/>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姓名</w:t>
            </w:r>
          </w:p>
        </w:tc>
        <w:tc>
          <w:tcPr>
            <w:tcW w:w="2455" w:type="dxa"/>
            <w:vAlign w:val="bottom"/>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工作单位</w:t>
            </w:r>
          </w:p>
        </w:tc>
        <w:tc>
          <w:tcPr>
            <w:tcW w:w="3170" w:type="dxa"/>
            <w:vAlign w:val="bottom"/>
          </w:tcPr>
          <w:p>
            <w:pPr>
              <w:adjustRightInd w:val="0"/>
              <w:snapToGrid w:val="0"/>
              <w:spacing w:line="360" w:lineRule="auto"/>
              <w:jc w:val="center"/>
              <w:rPr>
                <w:rFonts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职务职称</w:t>
            </w:r>
          </w:p>
        </w:tc>
        <w:tc>
          <w:tcPr>
            <w:tcW w:w="1980" w:type="dxa"/>
            <w:vAlign w:val="bottom"/>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7" w:hRule="atLeast"/>
        </w:trPr>
        <w:tc>
          <w:tcPr>
            <w:tcW w:w="1215" w:type="dxa"/>
            <w:vAlign w:val="center"/>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郭京晶</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副主任</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8" w:hRule="atLeast"/>
        </w:trPr>
        <w:tc>
          <w:tcPr>
            <w:tcW w:w="121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吴拥军</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副主任</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15" w:type="dxa"/>
            <w:vAlign w:val="center"/>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袁晓斌</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综合办主任</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15" w:type="dxa"/>
            <w:vAlign w:val="center"/>
          </w:tcPr>
          <w:p>
            <w:pPr>
              <w:adjustRightInd w:val="0"/>
              <w:snapToGrid w:val="0"/>
              <w:spacing w:line="360" w:lineRule="auto"/>
              <w:jc w:val="center"/>
              <w:rPr>
                <w:rFonts w:hint="eastAsia"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张利</w:t>
            </w:r>
            <w:r>
              <w:rPr>
                <w:rFonts w:hint="eastAsia" w:ascii="仿宋_GB2312" w:eastAsia="仿宋_GB2312"/>
                <w:color w:val="000000" w:themeColor="text1"/>
                <w:sz w:val="32"/>
                <w:szCs w:val="32"/>
                <w:lang w:eastAsia="zh-CN"/>
                <w14:textFill>
                  <w14:solidFill>
                    <w14:schemeClr w14:val="tx1"/>
                  </w14:solidFill>
                </w14:textFill>
              </w:rPr>
              <w:t>锋</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资源开发管理科科长</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5" w:hRule="atLeast"/>
        </w:trPr>
        <w:tc>
          <w:tcPr>
            <w:tcW w:w="1215" w:type="dxa"/>
            <w:vAlign w:val="center"/>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高达</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审计科科长</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4" w:hRule="atLeast"/>
        </w:trPr>
        <w:tc>
          <w:tcPr>
            <w:tcW w:w="121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汤玮</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市轨道办</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综合办副主任</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8" w:hRule="atLeast"/>
        </w:trPr>
        <w:tc>
          <w:tcPr>
            <w:tcW w:w="1215" w:type="dxa"/>
            <w:vAlign w:val="center"/>
          </w:tcPr>
          <w:p>
            <w:pPr>
              <w:adjustRightInd w:val="0"/>
              <w:snapToGrid w:val="0"/>
              <w:spacing w:line="360" w:lineRule="auto"/>
              <w:jc w:val="center"/>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张晓辉</w:t>
            </w:r>
          </w:p>
        </w:tc>
        <w:tc>
          <w:tcPr>
            <w:tcW w:w="2455" w:type="dxa"/>
            <w:vAlign w:val="center"/>
          </w:tcPr>
          <w:p>
            <w:pPr>
              <w:adjustRightInd w:val="0"/>
              <w:snapToGrid w:val="0"/>
              <w:spacing w:line="360" w:lineRule="auto"/>
              <w:jc w:val="center"/>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市轨道公司</w:t>
            </w:r>
          </w:p>
        </w:tc>
        <w:tc>
          <w:tcPr>
            <w:tcW w:w="3170" w:type="dxa"/>
            <w:vAlign w:val="center"/>
          </w:tcPr>
          <w:p>
            <w:pPr>
              <w:adjustRightInd w:val="0"/>
              <w:snapToGrid w:val="0"/>
              <w:spacing w:line="360" w:lineRule="auto"/>
              <w:jc w:val="center"/>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副总经理兼资源开发公司总经理</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15" w:type="dxa"/>
            <w:vAlign w:val="center"/>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吕志刚</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市轨道公司</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财务部部长</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 w:hRule="atLeast"/>
        </w:trPr>
        <w:tc>
          <w:tcPr>
            <w:tcW w:w="1215" w:type="dxa"/>
            <w:vAlign w:val="center"/>
          </w:tcPr>
          <w:p>
            <w:pPr>
              <w:adjustRightInd w:val="0"/>
              <w:snapToGrid w:val="0"/>
              <w:spacing w:line="360" w:lineRule="auto"/>
              <w:jc w:val="center"/>
              <w:rPr>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张海瑞</w:t>
            </w:r>
          </w:p>
        </w:tc>
        <w:tc>
          <w:tcPr>
            <w:tcW w:w="245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市轨道公司</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审计部部长</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5" w:hRule="atLeast"/>
        </w:trPr>
        <w:tc>
          <w:tcPr>
            <w:tcW w:w="121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曹猛</w:t>
            </w:r>
          </w:p>
        </w:tc>
        <w:tc>
          <w:tcPr>
            <w:tcW w:w="2455" w:type="dxa"/>
            <w:vAlign w:val="center"/>
          </w:tcPr>
          <w:p>
            <w:pPr>
              <w:adjustRightInd w:val="0"/>
              <w:snapToGrid w:val="0"/>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地铁资源开发公司</w:t>
            </w:r>
          </w:p>
        </w:tc>
        <w:tc>
          <w:tcPr>
            <w:tcW w:w="3170" w:type="dxa"/>
            <w:vAlign w:val="center"/>
          </w:tcPr>
          <w:p>
            <w:pPr>
              <w:adjustRightInd w:val="0"/>
              <w:snapToGrid w:val="0"/>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工程建设与安全质量部副部长</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8" w:hRule="atLeast"/>
        </w:trPr>
        <w:tc>
          <w:tcPr>
            <w:tcW w:w="1215"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张瑾</w:t>
            </w:r>
          </w:p>
        </w:tc>
        <w:tc>
          <w:tcPr>
            <w:tcW w:w="2455" w:type="dxa"/>
            <w:vAlign w:val="center"/>
          </w:tcPr>
          <w:p>
            <w:pPr>
              <w:adjustRightInd w:val="0"/>
              <w:snapToGrid w:val="0"/>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地铁资源开发公司</w:t>
            </w:r>
          </w:p>
        </w:tc>
        <w:tc>
          <w:tcPr>
            <w:tcW w:w="3170" w:type="dxa"/>
            <w:vAlign w:val="center"/>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主管</w:t>
            </w:r>
          </w:p>
        </w:tc>
        <w:tc>
          <w:tcPr>
            <w:tcW w:w="1980" w:type="dxa"/>
          </w:tcPr>
          <w:p>
            <w:pPr>
              <w:adjustRightInd w:val="0"/>
              <w:snapToGrid w:val="0"/>
              <w:spacing w:line="360" w:lineRule="auto"/>
              <w:jc w:val="center"/>
              <w:rPr>
                <w:rFonts w:ascii="仿宋_GB2312" w:eastAsia="仿宋_GB2312"/>
                <w:color w:val="000000" w:themeColor="text1"/>
                <w:sz w:val="32"/>
                <w:szCs w:val="32"/>
                <w14:textFill>
                  <w14:solidFill>
                    <w14:schemeClr w14:val="tx1"/>
                  </w14:solidFill>
                </w14:textFill>
              </w:rPr>
            </w:pPr>
          </w:p>
        </w:tc>
      </w:tr>
    </w:tbl>
    <w:p>
      <w:pPr>
        <w:rPr>
          <w:color w:val="000000" w:themeColor="text1"/>
          <w:sz w:val="32"/>
          <w:szCs w:val="32"/>
          <w14:textFill>
            <w14:solidFill>
              <w14:schemeClr w14:val="tx1"/>
            </w14:solidFill>
          </w14:textFill>
        </w:rPr>
      </w:pPr>
    </w:p>
    <w:p>
      <w:pPr>
        <w:rPr>
          <w:color w:val="000000" w:themeColor="text1"/>
          <w:sz w:val="32"/>
          <w:szCs w:val="32"/>
          <w14:textFill>
            <w14:solidFill>
              <w14:schemeClr w14:val="tx1"/>
            </w14:solidFill>
          </w14:textFill>
        </w:rPr>
      </w:pPr>
    </w:p>
    <w:p>
      <w:pPr>
        <w:rPr>
          <w:color w:val="000000" w:themeColor="text1"/>
          <w:sz w:val="32"/>
          <w:szCs w:val="32"/>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adjustRightInd w:val="0"/>
        <w:snapToGrid w:val="0"/>
        <w:jc w:val="center"/>
        <w:rPr>
          <w:rFonts w:hint="eastAsia" w:ascii="仿宋_GB2312" w:eastAsia="仿宋_GB2312"/>
          <w:color w:val="000000" w:themeColor="text1"/>
          <w:sz w:val="32"/>
          <w:szCs w:val="32"/>
          <w14:textFill>
            <w14:solidFill>
              <w14:schemeClr w14:val="tx1"/>
            </w14:solidFill>
          </w14:textFill>
        </w:rPr>
      </w:pPr>
    </w:p>
    <w:p>
      <w:pPr>
        <w:adjustRightInd w:val="0"/>
        <w:snapToGrid w:val="0"/>
        <w:jc w:val="center"/>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 xml:space="preserve">                 石家庄市轨道交通建设办公室</w:t>
      </w:r>
    </w:p>
    <w:p>
      <w:pPr>
        <w:adjustRightInd w:val="0"/>
        <w:snapToGrid w:val="0"/>
        <w:jc w:val="center"/>
        <w:rPr>
          <w:rFonts w:hint="default"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 xml:space="preserve">                  2020年5月26日</w:t>
      </w:r>
    </w:p>
    <w:sectPr>
      <w:footerReference r:id="rId3" w:type="default"/>
      <w:pgSz w:w="11906" w:h="16838"/>
      <w:pgMar w:top="1460" w:right="1800" w:bottom="1518"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1024" behindDoc="0" locked="0" layoutInCell="1" allowOverlap="1">
              <wp:simplePos x="0" y="0"/>
              <wp:positionH relativeFrom="margin">
                <wp:align>center</wp:align>
              </wp:positionH>
              <wp:positionV relativeFrom="paragraph">
                <wp:posOffset>0</wp:posOffset>
              </wp:positionV>
              <wp:extent cx="179705" cy="139700"/>
              <wp:effectExtent l="0" t="0" r="0" b="0"/>
              <wp:wrapNone/>
              <wp:docPr id="1"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179705" cy="139700"/>
                      </a:xfrm>
                      <a:prstGeom prst="rect">
                        <a:avLst/>
                      </a:prstGeom>
                      <a:noFill/>
                      <a:ln>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- 12 -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11pt;width:14.15pt;mso-position-horizontal:center;mso-position-horizontal-relative:margin;mso-wrap-style:none;z-index:1024;mso-width-relative:page;mso-height-relative:page;" filled="f" stroked="f" coordsize="21600,21600" o:gfxdata="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qRZ6x0AAAAAMBAAAPAAAA&#10;AAAAAAEAIAAAACIAAABkcnMvZG93bnJldi54bWxQSwECFAAUAAAACACHTuJAgXpIQOQBAADEAwAA&#10;DgAAAAAAAAABACAAAAAfAQAAZHJzL2Uyb0RvYy54bWxQSwUGAAAAAAYABgBZAQAAdQ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DDF0F3"/>
    <w:multiLevelType w:val="singleLevel"/>
    <w:tmpl w:val="85DDF0F3"/>
    <w:lvl w:ilvl="0" w:tentative="0">
      <w:start w:val="2"/>
      <w:numFmt w:val="chineseCounting"/>
      <w:suff w:val="nothing"/>
      <w:lvlText w:val="（%1）"/>
      <w:lvlJc w:val="left"/>
      <w:rPr>
        <w:rFonts w:hint="eastAsia"/>
      </w:rPr>
    </w:lvl>
  </w:abstractNum>
  <w:abstractNum w:abstractNumId="1">
    <w:nsid w:val="DABF34BC"/>
    <w:multiLevelType w:val="singleLevel"/>
    <w:tmpl w:val="DABF34BC"/>
    <w:lvl w:ilvl="0" w:tentative="0">
      <w:start w:val="1"/>
      <w:numFmt w:val="decimal"/>
      <w:suff w:val="nothing"/>
      <w:lvlText w:val="%1、"/>
      <w:lvlJc w:val="left"/>
    </w:lvl>
  </w:abstractNum>
  <w:abstractNum w:abstractNumId="2">
    <w:nsid w:val="2A1BFBC5"/>
    <w:multiLevelType w:val="singleLevel"/>
    <w:tmpl w:val="2A1BFBC5"/>
    <w:lvl w:ilvl="0" w:tentative="0">
      <w:start w:val="3"/>
      <w:numFmt w:val="chineseCounting"/>
      <w:suff w:val="nothing"/>
      <w:lvlText w:val="%1、"/>
      <w:lvlJc w:val="left"/>
      <w:pPr>
        <w:ind w:left="642" w:firstLine="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617713"/>
    <w:rsid w:val="005A3BE9"/>
    <w:rsid w:val="0089107E"/>
    <w:rsid w:val="009D33BE"/>
    <w:rsid w:val="00B7368A"/>
    <w:rsid w:val="00C24940"/>
    <w:rsid w:val="00DC00C6"/>
    <w:rsid w:val="017E3E88"/>
    <w:rsid w:val="01EB407A"/>
    <w:rsid w:val="02B21244"/>
    <w:rsid w:val="032D2E16"/>
    <w:rsid w:val="034F2FF7"/>
    <w:rsid w:val="03787AEF"/>
    <w:rsid w:val="09880F20"/>
    <w:rsid w:val="09A94505"/>
    <w:rsid w:val="09AA773D"/>
    <w:rsid w:val="0C833B7D"/>
    <w:rsid w:val="0F194FD6"/>
    <w:rsid w:val="124C4892"/>
    <w:rsid w:val="12FE7DBC"/>
    <w:rsid w:val="13402FAA"/>
    <w:rsid w:val="144E79FD"/>
    <w:rsid w:val="14DB73F6"/>
    <w:rsid w:val="157718D6"/>
    <w:rsid w:val="15DF375E"/>
    <w:rsid w:val="160F738F"/>
    <w:rsid w:val="195716E6"/>
    <w:rsid w:val="1AEB5E8C"/>
    <w:rsid w:val="1B3A1571"/>
    <w:rsid w:val="201C58FF"/>
    <w:rsid w:val="21AB4756"/>
    <w:rsid w:val="227D594A"/>
    <w:rsid w:val="25632CAF"/>
    <w:rsid w:val="271764F4"/>
    <w:rsid w:val="275F3014"/>
    <w:rsid w:val="29365569"/>
    <w:rsid w:val="294D364D"/>
    <w:rsid w:val="2B2A73EE"/>
    <w:rsid w:val="2DD83350"/>
    <w:rsid w:val="32E47B3E"/>
    <w:rsid w:val="337B2940"/>
    <w:rsid w:val="347536A4"/>
    <w:rsid w:val="36C3650E"/>
    <w:rsid w:val="37386F7E"/>
    <w:rsid w:val="38903B27"/>
    <w:rsid w:val="393038ED"/>
    <w:rsid w:val="39A93E54"/>
    <w:rsid w:val="39EC07F6"/>
    <w:rsid w:val="3C621E17"/>
    <w:rsid w:val="400D509D"/>
    <w:rsid w:val="425245E8"/>
    <w:rsid w:val="44D813AB"/>
    <w:rsid w:val="45687506"/>
    <w:rsid w:val="460249E7"/>
    <w:rsid w:val="49DC5C6D"/>
    <w:rsid w:val="4A7E04C1"/>
    <w:rsid w:val="4A801381"/>
    <w:rsid w:val="4B3569E1"/>
    <w:rsid w:val="4B7C23E2"/>
    <w:rsid w:val="4DD24A97"/>
    <w:rsid w:val="4F575896"/>
    <w:rsid w:val="4F750102"/>
    <w:rsid w:val="5042131F"/>
    <w:rsid w:val="519E706D"/>
    <w:rsid w:val="51FA7D0F"/>
    <w:rsid w:val="52615EA7"/>
    <w:rsid w:val="52BA0436"/>
    <w:rsid w:val="564833AE"/>
    <w:rsid w:val="566E0462"/>
    <w:rsid w:val="5852371D"/>
    <w:rsid w:val="5A39311F"/>
    <w:rsid w:val="5A7A0F61"/>
    <w:rsid w:val="5C617713"/>
    <w:rsid w:val="5D8B0E1C"/>
    <w:rsid w:val="5DA641F4"/>
    <w:rsid w:val="5E4C3915"/>
    <w:rsid w:val="5F560AE8"/>
    <w:rsid w:val="602950B6"/>
    <w:rsid w:val="60F10A72"/>
    <w:rsid w:val="60F41637"/>
    <w:rsid w:val="623A5F5C"/>
    <w:rsid w:val="66D66175"/>
    <w:rsid w:val="68186EEE"/>
    <w:rsid w:val="68655A31"/>
    <w:rsid w:val="69193BA5"/>
    <w:rsid w:val="69BB262C"/>
    <w:rsid w:val="6BEB3A0D"/>
    <w:rsid w:val="6C7C0BA4"/>
    <w:rsid w:val="6D2850FC"/>
    <w:rsid w:val="6E33163C"/>
    <w:rsid w:val="6E7C59BA"/>
    <w:rsid w:val="6F341C44"/>
    <w:rsid w:val="742413CD"/>
    <w:rsid w:val="74D51A01"/>
    <w:rsid w:val="75A9717C"/>
    <w:rsid w:val="76B3033E"/>
    <w:rsid w:val="78F4627F"/>
    <w:rsid w:val="793D6B99"/>
    <w:rsid w:val="79695A35"/>
    <w:rsid w:val="79897883"/>
    <w:rsid w:val="7AFF22B8"/>
    <w:rsid w:val="7BF76512"/>
    <w:rsid w:val="7C926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cs="Times New Roman"/>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页眉 Char"/>
    <w:basedOn w:val="7"/>
    <w:link w:val="3"/>
    <w:qFormat/>
    <w:uiPriority w:val="0"/>
    <w:rPr>
      <w:rFonts w:cs="黑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737</Words>
  <Characters>4206</Characters>
  <Lines>35</Lines>
  <Paragraphs>9</Paragraphs>
  <TotalTime>25</TotalTime>
  <ScaleCrop>false</ScaleCrop>
  <LinksUpToDate>false</LinksUpToDate>
  <CharactersWithSpaces>4934</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2020-05-09T07:20:00Z</dcterms:created>
  <dc:creator>ZJ</dc:creator>
  <cp:lastModifiedBy>kk</cp:lastModifiedBy>
  <cp:lastPrinted>2020-05-27T06:12:00Z</cp:lastPrinted>
  <dcterms:modified xsi:type="dcterms:W3CDTF">2020-05-27T08:04:01Z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