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left"/>
      </w:pPr>
      <w:r>
        <w:rPr>
          <w:rFonts w:ascii="Calibri" w:hAnsi="Calibri" w:eastAsia="方正小标宋_GBK" w:cs="Calibri"/>
          <w:i w:val="0"/>
          <w:caps w:val="0"/>
          <w:color w:val="000000"/>
          <w:spacing w:val="0"/>
          <w:kern w:val="0"/>
          <w:sz w:val="44"/>
          <w:szCs w:val="44"/>
          <w:lang w:val="en-US" w:eastAsia="zh-CN" w:bidi="ar"/>
        </w:rPr>
        <w:t>市侨联决算公开目录</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jc w:val="left"/>
        <w:rPr>
          <w:rFonts w:hint="eastAsia" w:ascii="宋体" w:hAnsi="宋体" w:eastAsia="宋体" w:cs="宋体"/>
          <w:i w:val="0"/>
          <w:caps w:val="0"/>
          <w:color w:val="000000"/>
          <w:spacing w:val="0"/>
          <w:sz w:val="21"/>
          <w:szCs w:val="21"/>
        </w:rPr>
      </w:pPr>
      <w:r>
        <w:rPr>
          <w:rFonts w:ascii="黑体" w:hAnsi="宋体" w:eastAsia="黑体" w:cs="黑体"/>
          <w:i w:val="0"/>
          <w:caps w:val="0"/>
          <w:color w:val="000000"/>
          <w:spacing w:val="0"/>
          <w:kern w:val="0"/>
          <w:sz w:val="32"/>
          <w:szCs w:val="32"/>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560"/>
        <w:jc w:val="left"/>
        <w:rPr>
          <w:rFonts w:hint="eastAsia" w:ascii="宋体" w:hAnsi="宋体" w:eastAsia="宋体" w:cs="宋体"/>
          <w:i w:val="0"/>
          <w:caps w:val="0"/>
          <w:color w:val="000000"/>
          <w:spacing w:val="0"/>
          <w:sz w:val="21"/>
          <w:szCs w:val="21"/>
        </w:rPr>
      </w:pPr>
      <w:r>
        <w:rPr>
          <w:rFonts w:hint="eastAsia" w:ascii="黑体" w:hAnsi="宋体" w:eastAsia="黑体" w:cs="黑体"/>
          <w:i w:val="0"/>
          <w:caps w:val="0"/>
          <w:color w:val="000000"/>
          <w:spacing w:val="0"/>
          <w:kern w:val="0"/>
          <w:sz w:val="28"/>
          <w:szCs w:val="28"/>
          <w:bdr w:val="none" w:color="auto" w:sz="0" w:space="0"/>
          <w:lang w:val="en-US" w:eastAsia="zh-CN" w:bidi="ar"/>
        </w:rPr>
        <w:t>第一部分   市侨联概况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562"/>
        <w:jc w:val="left"/>
        <w:rPr>
          <w:rFonts w:hint="eastAsia" w:ascii="宋体" w:hAnsi="宋体" w:eastAsia="宋体" w:cs="宋体"/>
          <w:i w:val="0"/>
          <w:caps w:val="0"/>
          <w:color w:val="000000"/>
          <w:spacing w:val="0"/>
          <w:sz w:val="21"/>
          <w:szCs w:val="21"/>
        </w:rPr>
      </w:pPr>
      <w:r>
        <w:rPr>
          <w:rFonts w:ascii="楷体_GB2312" w:hAnsi="宋体" w:eastAsia="楷体_GB2312" w:cs="楷体_GB2312"/>
          <w:b/>
          <w:i w:val="0"/>
          <w:caps w:val="0"/>
          <w:color w:val="000000"/>
          <w:spacing w:val="0"/>
          <w:kern w:val="0"/>
          <w:sz w:val="28"/>
          <w:szCs w:val="28"/>
          <w:bdr w:val="none" w:color="auto" w:sz="0" w:space="0"/>
          <w:lang w:val="en-US" w:eastAsia="zh-CN" w:bidi="ar"/>
        </w:rPr>
        <w:t>一、主要职责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480" w:right="180" w:firstLine="570"/>
        <w:jc w:val="left"/>
        <w:rPr>
          <w:rFonts w:hint="eastAsia" w:ascii="宋体" w:hAnsi="宋体" w:eastAsia="宋体" w:cs="宋体"/>
          <w:i w:val="0"/>
          <w:caps w:val="0"/>
          <w:color w:val="000000"/>
          <w:spacing w:val="0"/>
          <w:sz w:val="21"/>
          <w:szCs w:val="21"/>
        </w:rPr>
      </w:pPr>
      <w:r>
        <w:rPr>
          <w:rFonts w:ascii="仿宋_GB2312" w:hAnsi="宋体" w:eastAsia="仿宋_GB2312" w:cs="仿宋_GB2312"/>
          <w:i w:val="0"/>
          <w:caps w:val="0"/>
          <w:color w:val="535353"/>
          <w:spacing w:val="0"/>
          <w:kern w:val="0"/>
          <w:sz w:val="28"/>
          <w:szCs w:val="28"/>
          <w:bdr w:val="none" w:color="auto" w:sz="0" w:space="0"/>
          <w:lang w:val="en-US" w:eastAsia="zh-CN" w:bidi="ar"/>
        </w:rPr>
        <w:t>根据《石家庄市归国华侨联合会职能配置、内设机构和人员编制方案》规定，石家庄市归国华侨联合会的主要职责是：</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480" w:right="18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535353"/>
          <w:spacing w:val="0"/>
          <w:kern w:val="0"/>
          <w:sz w:val="28"/>
          <w:szCs w:val="28"/>
          <w:bdr w:val="none" w:color="auto" w:sz="0" w:space="0"/>
          <w:lang w:val="en-US" w:eastAsia="zh-CN" w:bidi="ar"/>
        </w:rPr>
        <w:t>（一）密切联系广大归侨侨眷和海外侨胞，了解侨情民意，沟通渠道，化解矛盾；加强归侨侨眷的法制教育和思想道德教育，为国家的改革发展稳定服务。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480" w:right="18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535353"/>
          <w:spacing w:val="0"/>
          <w:kern w:val="0"/>
          <w:sz w:val="28"/>
          <w:szCs w:val="28"/>
          <w:bdr w:val="none" w:color="auto" w:sz="0" w:space="0"/>
          <w:lang w:val="en-US" w:eastAsia="zh-CN" w:bidi="ar"/>
        </w:rPr>
        <w:t>（二）依法维护归侨侨眷的合法权益和海外侨胞在国内的正当利益；反映归侨侨眷和海外侨胞的意见和要求；参与起草有关法律、法规；为归侨侨眷和海外侨胞提供法律咨询服务。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480" w:right="18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535353"/>
          <w:spacing w:val="0"/>
          <w:kern w:val="0"/>
          <w:sz w:val="28"/>
          <w:szCs w:val="28"/>
          <w:bdr w:val="none" w:color="auto" w:sz="0" w:space="0"/>
          <w:lang w:val="en-US" w:eastAsia="zh-CN" w:bidi="ar"/>
        </w:rPr>
        <w:t>（三）配合有关部门做好推荐市人大代表和政协委员的人事安排工作，为他们履行参政议政和民主监督职能提供服务。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480" w:right="18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535353"/>
          <w:spacing w:val="0"/>
          <w:kern w:val="0"/>
          <w:sz w:val="28"/>
          <w:szCs w:val="28"/>
          <w:bdr w:val="none" w:color="auto" w:sz="0" w:space="0"/>
          <w:lang w:val="en-US" w:eastAsia="zh-CN" w:bidi="ar"/>
        </w:rPr>
        <w:t>（四）促进海外侨胞与祖国进行经济合作和科技交流；为归侨侨眷兴办企业和海外侨胞来华投资服务。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480" w:right="18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535353"/>
          <w:spacing w:val="0"/>
          <w:kern w:val="0"/>
          <w:sz w:val="28"/>
          <w:szCs w:val="28"/>
          <w:bdr w:val="none" w:color="auto" w:sz="0" w:space="0"/>
          <w:lang w:val="en-US" w:eastAsia="zh-CN" w:bidi="ar"/>
        </w:rPr>
        <w:t>（五）配合有关部门进一步拓展与台湾同胞的联络渠道；加强同港澳侨团的联系，密切与海外侨胞及其社团的联系，参与以地缘、血缘、业缘为纽带组成的侨社团的联谊活动。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480" w:right="18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535353"/>
          <w:spacing w:val="0"/>
          <w:kern w:val="0"/>
          <w:sz w:val="28"/>
          <w:szCs w:val="28"/>
          <w:bdr w:val="none" w:color="auto" w:sz="0" w:space="0"/>
          <w:lang w:val="en-US" w:eastAsia="zh-CN" w:bidi="ar"/>
        </w:rPr>
        <w:t>（六）宣传党和政府侨务工作的方针、政策，宣传归侨、侨眷的先进事迹和海外侨胞回国服务、为国服务的爱国爱乡行动；开展海内外民间文化、学术交流与合作；为归侨、侨眷和海外侨胞在国内兴办文教、卫生和其他社会公益事业服务。</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480" w:right="18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535353"/>
          <w:spacing w:val="0"/>
          <w:kern w:val="0"/>
          <w:sz w:val="28"/>
          <w:szCs w:val="28"/>
          <w:bdr w:val="none" w:color="auto" w:sz="0" w:space="0"/>
          <w:lang w:val="en-US" w:eastAsia="zh-CN" w:bidi="ar"/>
        </w:rPr>
        <w:t>（七）根据《中国侨联章程》提出的任务和要求，研究制定工作计划和发展规划，组织实施我市归侨侨眷代表大会、委员会、常务委员会的决议、决定。指导各县（市）区级侨联及基层侨联组织工作。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480" w:right="18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535353"/>
          <w:spacing w:val="0"/>
          <w:kern w:val="0"/>
          <w:sz w:val="28"/>
          <w:szCs w:val="28"/>
          <w:bdr w:val="none" w:color="auto" w:sz="0" w:space="0"/>
          <w:lang w:val="en-US" w:eastAsia="zh-CN" w:bidi="ar"/>
        </w:rPr>
        <w:t>（八）加强侨联组织建设和干部队伍建设，提高人员素质和办事效率，注重调查研究工作，协调有关部门提供可靠依据，并实施发挥监督作用。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480" w:right="180" w:firstLine="57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535353"/>
          <w:spacing w:val="0"/>
          <w:kern w:val="0"/>
          <w:sz w:val="28"/>
          <w:szCs w:val="28"/>
          <w:bdr w:val="none" w:color="auto" w:sz="0" w:space="0"/>
          <w:lang w:val="en-US" w:eastAsia="zh-CN" w:bidi="ar"/>
        </w:rPr>
        <w:t>（九）承担中共石家庄市委、市政府授权的有关事项。</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562"/>
        <w:jc w:val="left"/>
        <w:rPr>
          <w:rFonts w:hint="eastAsia" w:ascii="宋体" w:hAnsi="宋体" w:eastAsia="宋体" w:cs="宋体"/>
          <w:i w:val="0"/>
          <w:caps w:val="0"/>
          <w:color w:val="000000"/>
          <w:spacing w:val="0"/>
          <w:sz w:val="21"/>
          <w:szCs w:val="21"/>
        </w:rPr>
      </w:pPr>
      <w:r>
        <w:rPr>
          <w:rFonts w:hint="eastAsia" w:ascii="楷体_GB2312" w:hAnsi="宋体" w:eastAsia="楷体_GB2312" w:cs="楷体_GB2312"/>
          <w:b/>
          <w:i w:val="0"/>
          <w:caps w:val="0"/>
          <w:color w:val="000000"/>
          <w:spacing w:val="0"/>
          <w:kern w:val="0"/>
          <w:sz w:val="28"/>
          <w:szCs w:val="28"/>
          <w:bdr w:val="none" w:color="auto" w:sz="0" w:space="0"/>
          <w:lang w:val="en-US" w:eastAsia="zh-CN" w:bidi="ar"/>
        </w:rPr>
        <w:t>二、预算单位构成</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000000"/>
          <w:spacing w:val="0"/>
          <w:kern w:val="0"/>
          <w:sz w:val="28"/>
          <w:szCs w:val="28"/>
          <w:bdr w:val="none" w:color="auto" w:sz="0" w:space="0"/>
          <w:lang w:val="en-US" w:eastAsia="zh-CN" w:bidi="ar"/>
        </w:rPr>
        <w:t>石家庄市归国华侨联全会无下属单位。</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000000"/>
          <w:spacing w:val="0"/>
          <w:kern w:val="0"/>
          <w:sz w:val="28"/>
          <w:szCs w:val="28"/>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560"/>
        <w:jc w:val="left"/>
        <w:rPr>
          <w:rFonts w:hint="eastAsia" w:ascii="宋体" w:hAnsi="宋体" w:eastAsia="宋体" w:cs="宋体"/>
          <w:i w:val="0"/>
          <w:caps w:val="0"/>
          <w:color w:val="000000"/>
          <w:spacing w:val="0"/>
          <w:sz w:val="21"/>
          <w:szCs w:val="21"/>
        </w:rPr>
      </w:pPr>
      <w:r>
        <w:rPr>
          <w:rFonts w:hint="eastAsia" w:ascii="黑体" w:hAnsi="宋体" w:eastAsia="黑体" w:cs="黑体"/>
          <w:i w:val="0"/>
          <w:caps w:val="0"/>
          <w:color w:val="000000"/>
          <w:spacing w:val="0"/>
          <w:kern w:val="0"/>
          <w:sz w:val="28"/>
          <w:szCs w:val="28"/>
          <w:bdr w:val="none" w:color="auto" w:sz="0" w:space="0"/>
          <w:lang w:val="en-US" w:eastAsia="zh-CN" w:bidi="ar"/>
        </w:rPr>
        <w:t>第二部分   市侨联2014年度部门决算报表（见附件）</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70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000000"/>
          <w:spacing w:val="0"/>
          <w:kern w:val="0"/>
          <w:sz w:val="28"/>
          <w:szCs w:val="28"/>
          <w:bdr w:val="none" w:color="auto" w:sz="0" w:space="0"/>
          <w:lang w:val="en-US" w:eastAsia="zh-CN" w:bidi="ar"/>
        </w:rPr>
        <w:t>一、收入支出决算总表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640" w:right="0" w:firstLine="42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000000"/>
          <w:spacing w:val="0"/>
          <w:kern w:val="0"/>
          <w:sz w:val="28"/>
          <w:szCs w:val="28"/>
          <w:bdr w:val="none" w:color="auto" w:sz="0" w:space="0"/>
          <w:lang w:val="en-US" w:eastAsia="zh-CN" w:bidi="ar"/>
        </w:rPr>
        <w:t>二、收入决算表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640" w:right="0" w:firstLine="42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000000"/>
          <w:spacing w:val="0"/>
          <w:kern w:val="0"/>
          <w:sz w:val="28"/>
          <w:szCs w:val="28"/>
          <w:bdr w:val="none" w:color="auto" w:sz="0" w:space="0"/>
          <w:lang w:val="en-US" w:eastAsia="zh-CN" w:bidi="ar"/>
        </w:rPr>
        <w:t>三、支出决算表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640" w:right="0" w:firstLine="42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000000"/>
          <w:spacing w:val="0"/>
          <w:kern w:val="0"/>
          <w:sz w:val="28"/>
          <w:szCs w:val="28"/>
          <w:bdr w:val="none" w:color="auto" w:sz="0" w:space="0"/>
          <w:lang w:val="en-US" w:eastAsia="zh-CN" w:bidi="ar"/>
        </w:rPr>
        <w:t>四、财政拨款收入支出决算总表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640" w:right="0" w:firstLine="42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000000"/>
          <w:spacing w:val="0"/>
          <w:kern w:val="0"/>
          <w:sz w:val="28"/>
          <w:szCs w:val="28"/>
          <w:bdr w:val="none" w:color="auto" w:sz="0" w:space="0"/>
          <w:lang w:val="en-US" w:eastAsia="zh-CN" w:bidi="ar"/>
        </w:rPr>
        <w:t>五、一般公共预算财政拨款支出决算表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640" w:right="0" w:firstLine="42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000000"/>
          <w:spacing w:val="0"/>
          <w:kern w:val="0"/>
          <w:sz w:val="28"/>
          <w:szCs w:val="28"/>
          <w:bdr w:val="none" w:color="auto" w:sz="0" w:space="0"/>
          <w:lang w:val="en-US" w:eastAsia="zh-CN" w:bidi="ar"/>
        </w:rPr>
        <w:t>六、一般公共预算财政拨款基本支出决算表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640" w:right="0" w:firstLine="42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000000"/>
          <w:spacing w:val="0"/>
          <w:kern w:val="0"/>
          <w:sz w:val="28"/>
          <w:szCs w:val="28"/>
          <w:bdr w:val="none" w:color="auto" w:sz="0" w:space="0"/>
          <w:lang w:val="en-US" w:eastAsia="zh-CN" w:bidi="ar"/>
        </w:rPr>
        <w:t>七、一般公共预算财政拨款“三公”经费支出决算表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640" w:right="0" w:firstLine="42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000000"/>
          <w:spacing w:val="0"/>
          <w:kern w:val="0"/>
          <w:sz w:val="28"/>
          <w:szCs w:val="28"/>
          <w:bdr w:val="none" w:color="auto" w:sz="0" w:space="0"/>
          <w:lang w:val="en-US" w:eastAsia="zh-CN" w:bidi="ar"/>
        </w:rPr>
        <w:t>八、政府性基金预算财政拨款收入支出决算表（我单位没有政府性基金收支）</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640" w:right="0" w:firstLine="420"/>
        <w:jc w:val="left"/>
        <w:rPr>
          <w:rFonts w:hint="eastAsia" w:ascii="宋体" w:hAnsi="宋体" w:eastAsia="宋体" w:cs="宋体"/>
          <w:i w:val="0"/>
          <w:caps w:val="0"/>
          <w:color w:val="000000"/>
          <w:spacing w:val="0"/>
          <w:sz w:val="21"/>
          <w:szCs w:val="21"/>
        </w:rPr>
      </w:pPr>
      <w:r>
        <w:rPr>
          <w:rFonts w:hint="eastAsia" w:ascii="宋体" w:hAnsi="宋体" w:eastAsia="宋体" w:cs="宋体"/>
          <w:b/>
          <w:i w:val="0"/>
          <w:caps w:val="0"/>
          <w:color w:val="000000"/>
          <w:spacing w:val="0"/>
          <w:kern w:val="0"/>
          <w:sz w:val="28"/>
          <w:szCs w:val="28"/>
          <w:bdr w:val="none" w:color="auto" w:sz="0" w:space="0"/>
          <w:lang w:val="en-US" w:eastAsia="zh-CN" w:bidi="ar"/>
        </w:rPr>
        <w:t>第三部分  市侨联2014年部门决算情况说明</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62"/>
        <w:jc w:val="left"/>
        <w:rPr>
          <w:rFonts w:hint="eastAsia" w:ascii="宋体" w:hAnsi="宋体" w:eastAsia="宋体" w:cs="宋体"/>
          <w:i w:val="0"/>
          <w:caps w:val="0"/>
          <w:color w:val="000000"/>
          <w:spacing w:val="0"/>
          <w:sz w:val="21"/>
          <w:szCs w:val="21"/>
        </w:rPr>
      </w:pPr>
      <w:r>
        <w:rPr>
          <w:rFonts w:hint="eastAsia" w:ascii="楷体_GB2312" w:hAnsi="宋体" w:eastAsia="楷体_GB2312" w:cs="楷体_GB2312"/>
          <w:b/>
          <w:i w:val="0"/>
          <w:caps w:val="0"/>
          <w:color w:val="333333"/>
          <w:spacing w:val="0"/>
          <w:kern w:val="0"/>
          <w:sz w:val="28"/>
          <w:szCs w:val="28"/>
          <w:bdr w:val="none" w:color="auto" w:sz="0" w:space="0"/>
          <w:lang w:val="en-US" w:eastAsia="zh-CN" w:bidi="ar"/>
        </w:rPr>
        <w:t>一、决算汇编基本情况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333333"/>
          <w:spacing w:val="0"/>
          <w:kern w:val="0"/>
          <w:sz w:val="28"/>
          <w:szCs w:val="28"/>
          <w:bdr w:val="none" w:color="auto" w:sz="0" w:space="0"/>
          <w:lang w:val="en-US" w:eastAsia="zh-CN" w:bidi="ar"/>
        </w:rPr>
        <w:t>（一）部门机构情况说明</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333333"/>
          <w:spacing w:val="0"/>
          <w:kern w:val="0"/>
          <w:sz w:val="28"/>
          <w:szCs w:val="28"/>
          <w:u w:val="single"/>
          <w:bdr w:val="none" w:color="auto" w:sz="0" w:space="0"/>
          <w:lang w:val="en-US" w:eastAsia="zh-CN" w:bidi="ar"/>
        </w:rPr>
        <w:t>   2014  </w:t>
      </w:r>
      <w:r>
        <w:rPr>
          <w:rFonts w:hint="eastAsia" w:ascii="仿宋_GB2312" w:hAnsi="宋体" w:eastAsia="仿宋_GB2312" w:cs="仿宋_GB2312"/>
          <w:i w:val="0"/>
          <w:caps w:val="0"/>
          <w:color w:val="333333"/>
          <w:spacing w:val="0"/>
          <w:kern w:val="0"/>
          <w:sz w:val="28"/>
          <w:szCs w:val="28"/>
          <w:bdr w:val="none" w:color="auto" w:sz="0" w:space="0"/>
          <w:lang w:val="en-US" w:eastAsia="zh-CN" w:bidi="ar"/>
        </w:rPr>
        <w:t>年度，纳入本部门决算汇编范围的独立核算单位共</w:t>
      </w:r>
      <w:r>
        <w:rPr>
          <w:rFonts w:hint="eastAsia" w:ascii="仿宋_GB2312" w:hAnsi="宋体" w:eastAsia="仿宋_GB2312" w:cs="仿宋_GB2312"/>
          <w:i w:val="0"/>
          <w:caps w:val="0"/>
          <w:color w:val="333333"/>
          <w:spacing w:val="0"/>
          <w:kern w:val="0"/>
          <w:sz w:val="28"/>
          <w:szCs w:val="28"/>
          <w:u w:val="single"/>
          <w:bdr w:val="none" w:color="auto" w:sz="0" w:space="0"/>
          <w:lang w:val="en-US" w:eastAsia="zh-CN" w:bidi="ar"/>
        </w:rPr>
        <w:t>  1  </w:t>
      </w:r>
      <w:r>
        <w:rPr>
          <w:rFonts w:hint="eastAsia" w:ascii="仿宋_GB2312" w:hAnsi="宋体" w:eastAsia="仿宋_GB2312" w:cs="仿宋_GB2312"/>
          <w:i w:val="0"/>
          <w:caps w:val="0"/>
          <w:color w:val="333333"/>
          <w:spacing w:val="0"/>
          <w:kern w:val="0"/>
          <w:sz w:val="28"/>
          <w:szCs w:val="28"/>
          <w:bdr w:val="none" w:color="auto" w:sz="0" w:space="0"/>
          <w:lang w:val="en-US" w:eastAsia="zh-CN" w:bidi="ar"/>
        </w:rPr>
        <w:t>个，比上年增减</w:t>
      </w:r>
      <w:r>
        <w:rPr>
          <w:rFonts w:hint="eastAsia" w:ascii="仿宋_GB2312" w:hAnsi="宋体" w:eastAsia="仿宋_GB2312" w:cs="仿宋_GB2312"/>
          <w:i w:val="0"/>
          <w:caps w:val="0"/>
          <w:color w:val="333333"/>
          <w:spacing w:val="0"/>
          <w:kern w:val="0"/>
          <w:sz w:val="28"/>
          <w:szCs w:val="28"/>
          <w:u w:val="single"/>
          <w:bdr w:val="none" w:color="auto" w:sz="0" w:space="0"/>
          <w:lang w:val="en-US" w:eastAsia="zh-CN" w:bidi="ar"/>
        </w:rPr>
        <w:t>      </w:t>
      </w:r>
      <w:r>
        <w:rPr>
          <w:rFonts w:hint="eastAsia" w:ascii="仿宋_GB2312" w:hAnsi="宋体" w:eastAsia="仿宋_GB2312" w:cs="仿宋_GB2312"/>
          <w:i w:val="0"/>
          <w:caps w:val="0"/>
          <w:color w:val="333333"/>
          <w:spacing w:val="0"/>
          <w:kern w:val="0"/>
          <w:sz w:val="28"/>
          <w:szCs w:val="28"/>
          <w:bdr w:val="none" w:color="auto" w:sz="0" w:space="0"/>
          <w:lang w:val="en-US" w:eastAsia="zh-CN" w:bidi="ar"/>
        </w:rPr>
        <w:t>个，分类说明如下：</w:t>
      </w:r>
    </w:p>
    <w:tbl>
      <w:tblPr>
        <w:tblW w:w="8519" w:type="dxa"/>
        <w:jc w:val="center"/>
        <w:tblInd w:w="2"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tblLayout w:type="fixed"/>
        <w:tblCellMar>
          <w:top w:w="0" w:type="dxa"/>
          <w:left w:w="0" w:type="dxa"/>
          <w:bottom w:w="0" w:type="dxa"/>
          <w:right w:w="0" w:type="dxa"/>
        </w:tblCellMar>
      </w:tblPr>
      <w:tblGrid>
        <w:gridCol w:w="2659"/>
        <w:gridCol w:w="1134"/>
        <w:gridCol w:w="991"/>
        <w:gridCol w:w="3735"/>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tblLayout w:type="fixed"/>
          <w:tblCellMar>
            <w:top w:w="0" w:type="dxa"/>
            <w:left w:w="0" w:type="dxa"/>
            <w:bottom w:w="0" w:type="dxa"/>
            <w:right w:w="0" w:type="dxa"/>
          </w:tblCellMar>
        </w:tblPrEx>
        <w:trPr>
          <w:jc w:val="center"/>
        </w:trPr>
        <w:tc>
          <w:tcPr>
            <w:tcW w:w="2659" w:type="dxa"/>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项目</w:t>
            </w:r>
          </w:p>
        </w:tc>
        <w:tc>
          <w:tcPr>
            <w:tcW w:w="1134" w:type="dxa"/>
            <w:tcBorders>
              <w:top w:val="single" w:color="000000" w:sz="8" w:space="0"/>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数量</w:t>
            </w:r>
          </w:p>
        </w:tc>
        <w:tc>
          <w:tcPr>
            <w:tcW w:w="991" w:type="dxa"/>
            <w:tcBorders>
              <w:top w:val="single" w:color="000000" w:sz="8" w:space="0"/>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比上年增减</w:t>
            </w:r>
          </w:p>
        </w:tc>
        <w:tc>
          <w:tcPr>
            <w:tcW w:w="3735" w:type="dxa"/>
            <w:tcBorders>
              <w:top w:val="single" w:color="000000" w:sz="8" w:space="0"/>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变动原因说明</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659"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合    计</w:t>
            </w:r>
          </w:p>
        </w:tc>
        <w:tc>
          <w:tcPr>
            <w:tcW w:w="113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ascii="仿宋" w:hAnsi="仿宋" w:eastAsia="仿宋" w:cs="仿宋"/>
                <w:color w:val="535353"/>
                <w:kern w:val="0"/>
                <w:sz w:val="28"/>
                <w:szCs w:val="28"/>
                <w:bdr w:val="none" w:color="auto" w:sz="0" w:space="0"/>
                <w:lang w:val="en-US" w:eastAsia="zh-CN" w:bidi="ar"/>
              </w:rPr>
              <w:t> </w:t>
            </w:r>
          </w:p>
        </w:tc>
        <w:tc>
          <w:tcPr>
            <w:tcW w:w="991"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5"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659"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一、按单位基本性质</w:t>
            </w:r>
          </w:p>
        </w:tc>
        <w:tc>
          <w:tcPr>
            <w:tcW w:w="113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1</w:t>
            </w:r>
          </w:p>
        </w:tc>
        <w:tc>
          <w:tcPr>
            <w:tcW w:w="991"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5"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659"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  行政单位</w:t>
            </w:r>
          </w:p>
        </w:tc>
        <w:tc>
          <w:tcPr>
            <w:tcW w:w="113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1</w:t>
            </w:r>
          </w:p>
        </w:tc>
        <w:tc>
          <w:tcPr>
            <w:tcW w:w="991"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5"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659"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  事业单位</w:t>
            </w:r>
          </w:p>
        </w:tc>
        <w:tc>
          <w:tcPr>
            <w:tcW w:w="113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991"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5"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659"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  其他</w:t>
            </w:r>
          </w:p>
        </w:tc>
        <w:tc>
          <w:tcPr>
            <w:tcW w:w="113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991"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5"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659"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二、按执行会计制度</w:t>
            </w:r>
          </w:p>
        </w:tc>
        <w:tc>
          <w:tcPr>
            <w:tcW w:w="113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1</w:t>
            </w:r>
          </w:p>
        </w:tc>
        <w:tc>
          <w:tcPr>
            <w:tcW w:w="991"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5"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659"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  行政单位</w:t>
            </w:r>
          </w:p>
        </w:tc>
        <w:tc>
          <w:tcPr>
            <w:tcW w:w="113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1</w:t>
            </w:r>
          </w:p>
        </w:tc>
        <w:tc>
          <w:tcPr>
            <w:tcW w:w="991"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5"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659"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280"/>
              <w:jc w:val="center"/>
            </w:pPr>
            <w:r>
              <w:rPr>
                <w:rFonts w:hint="eastAsia" w:ascii="仿宋_GB2312" w:eastAsia="仿宋_GB2312" w:cs="仿宋_GB2312" w:hAnsiTheme="minorHAnsi"/>
                <w:color w:val="535353"/>
                <w:kern w:val="0"/>
                <w:sz w:val="28"/>
                <w:szCs w:val="28"/>
                <w:bdr w:val="none" w:color="auto" w:sz="0" w:space="0"/>
                <w:lang w:val="en-US" w:eastAsia="zh-CN" w:bidi="ar"/>
              </w:rPr>
              <w:t>事业单位（含行业）</w:t>
            </w:r>
          </w:p>
        </w:tc>
        <w:tc>
          <w:tcPr>
            <w:tcW w:w="113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991"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5"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659"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  民间非营利组织</w:t>
            </w:r>
          </w:p>
        </w:tc>
        <w:tc>
          <w:tcPr>
            <w:tcW w:w="113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991"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5"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659"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  企业</w:t>
            </w:r>
          </w:p>
        </w:tc>
        <w:tc>
          <w:tcPr>
            <w:tcW w:w="113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991"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5"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659"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三、按单位预算级次</w:t>
            </w:r>
          </w:p>
        </w:tc>
        <w:tc>
          <w:tcPr>
            <w:tcW w:w="113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1</w:t>
            </w:r>
          </w:p>
        </w:tc>
        <w:tc>
          <w:tcPr>
            <w:tcW w:w="991"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5"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659"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  一级预算单位</w:t>
            </w:r>
          </w:p>
        </w:tc>
        <w:tc>
          <w:tcPr>
            <w:tcW w:w="113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1</w:t>
            </w:r>
          </w:p>
        </w:tc>
        <w:tc>
          <w:tcPr>
            <w:tcW w:w="991"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5"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659"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  二级预算单位</w:t>
            </w:r>
          </w:p>
        </w:tc>
        <w:tc>
          <w:tcPr>
            <w:tcW w:w="113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991"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5"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659"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  三级预算单位</w:t>
            </w:r>
          </w:p>
        </w:tc>
        <w:tc>
          <w:tcPr>
            <w:tcW w:w="113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991"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5"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bl>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60"/>
        <w:jc w:val="left"/>
        <w:rPr>
          <w:rFonts w:hint="eastAsia" w:ascii="宋体" w:hAnsi="宋体" w:eastAsia="宋体" w:cs="宋体"/>
          <w:i w:val="0"/>
          <w:caps w:val="0"/>
          <w:color w:val="000000"/>
          <w:spacing w:val="0"/>
          <w:sz w:val="21"/>
          <w:szCs w:val="21"/>
        </w:rPr>
      </w:pPr>
      <w:r>
        <w:rPr>
          <w:rFonts w:hint="eastAsia" w:ascii="仿宋" w:hAnsi="仿宋" w:eastAsia="仿宋" w:cs="仿宋"/>
          <w:i w:val="0"/>
          <w:caps w:val="0"/>
          <w:color w:val="333333"/>
          <w:spacing w:val="0"/>
          <w:kern w:val="0"/>
          <w:sz w:val="28"/>
          <w:szCs w:val="28"/>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60"/>
        <w:jc w:val="left"/>
        <w:rPr>
          <w:rFonts w:hint="eastAsia" w:ascii="宋体" w:hAnsi="宋体" w:eastAsia="宋体" w:cs="宋体"/>
          <w:i w:val="0"/>
          <w:caps w:val="0"/>
          <w:color w:val="000000"/>
          <w:spacing w:val="0"/>
          <w:sz w:val="21"/>
          <w:szCs w:val="21"/>
        </w:rPr>
      </w:pPr>
      <w:r>
        <w:rPr>
          <w:rFonts w:hint="eastAsia" w:ascii="仿宋" w:hAnsi="仿宋" w:eastAsia="仿宋" w:cs="仿宋"/>
          <w:i w:val="0"/>
          <w:caps w:val="0"/>
          <w:color w:val="333333"/>
          <w:spacing w:val="0"/>
          <w:kern w:val="0"/>
          <w:sz w:val="28"/>
          <w:szCs w:val="28"/>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0"/>
        <w:jc w:val="left"/>
        <w:rPr>
          <w:rFonts w:hint="eastAsia" w:ascii="宋体" w:hAnsi="宋体" w:eastAsia="宋体" w:cs="宋体"/>
          <w:i w:val="0"/>
          <w:caps w:val="0"/>
          <w:color w:val="000000"/>
          <w:spacing w:val="0"/>
          <w:sz w:val="21"/>
          <w:szCs w:val="21"/>
        </w:rPr>
      </w:pPr>
      <w:r>
        <w:rPr>
          <w:rFonts w:hint="eastAsia" w:ascii="仿宋" w:hAnsi="仿宋" w:eastAsia="仿宋" w:cs="仿宋"/>
          <w:i w:val="0"/>
          <w:caps w:val="0"/>
          <w:color w:val="333333"/>
          <w:spacing w:val="0"/>
          <w:kern w:val="0"/>
          <w:sz w:val="28"/>
          <w:szCs w:val="28"/>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333333"/>
          <w:spacing w:val="0"/>
          <w:kern w:val="0"/>
          <w:sz w:val="28"/>
          <w:szCs w:val="28"/>
          <w:bdr w:val="none" w:color="auto" w:sz="0" w:space="0"/>
          <w:lang w:val="en-US" w:eastAsia="zh-CN" w:bidi="ar"/>
        </w:rPr>
        <w:t>（二）部门录入户数说明</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333333"/>
          <w:spacing w:val="0"/>
          <w:kern w:val="0"/>
          <w:sz w:val="28"/>
          <w:szCs w:val="28"/>
          <w:u w:val="single"/>
          <w:bdr w:val="none" w:color="auto" w:sz="0" w:space="0"/>
          <w:lang w:val="en-US" w:eastAsia="zh-CN" w:bidi="ar"/>
        </w:rPr>
        <w:t>   2014 </w:t>
      </w:r>
      <w:r>
        <w:rPr>
          <w:rFonts w:hint="eastAsia" w:ascii="仿宋_GB2312" w:hAnsi="宋体" w:eastAsia="仿宋_GB2312" w:cs="仿宋_GB2312"/>
          <w:i w:val="0"/>
          <w:caps w:val="0"/>
          <w:color w:val="333333"/>
          <w:spacing w:val="0"/>
          <w:kern w:val="0"/>
          <w:sz w:val="28"/>
          <w:szCs w:val="28"/>
          <w:bdr w:val="none" w:color="auto" w:sz="0" w:space="0"/>
          <w:lang w:val="en-US" w:eastAsia="zh-CN" w:bidi="ar"/>
        </w:rPr>
        <w:t>年度，本部门决算汇编户数共</w:t>
      </w:r>
      <w:r>
        <w:rPr>
          <w:rFonts w:hint="eastAsia" w:ascii="仿宋_GB2312" w:hAnsi="宋体" w:eastAsia="仿宋_GB2312" w:cs="仿宋_GB2312"/>
          <w:i w:val="0"/>
          <w:caps w:val="0"/>
          <w:color w:val="333333"/>
          <w:spacing w:val="0"/>
          <w:kern w:val="0"/>
          <w:sz w:val="28"/>
          <w:szCs w:val="28"/>
          <w:u w:val="single"/>
          <w:bdr w:val="none" w:color="auto" w:sz="0" w:space="0"/>
          <w:lang w:val="en-US" w:eastAsia="zh-CN" w:bidi="ar"/>
        </w:rPr>
        <w:t>   1  </w:t>
      </w:r>
      <w:r>
        <w:rPr>
          <w:rFonts w:hint="eastAsia" w:ascii="仿宋_GB2312" w:hAnsi="宋体" w:eastAsia="仿宋_GB2312" w:cs="仿宋_GB2312"/>
          <w:i w:val="0"/>
          <w:caps w:val="0"/>
          <w:color w:val="333333"/>
          <w:spacing w:val="0"/>
          <w:kern w:val="0"/>
          <w:sz w:val="28"/>
          <w:szCs w:val="28"/>
          <w:bdr w:val="none" w:color="auto" w:sz="0" w:space="0"/>
          <w:lang w:val="en-US" w:eastAsia="zh-CN" w:bidi="ar"/>
        </w:rPr>
        <w:t>个，比上年增减</w:t>
      </w:r>
      <w:r>
        <w:rPr>
          <w:rFonts w:hint="eastAsia" w:ascii="仿宋_GB2312" w:hAnsi="宋体" w:eastAsia="仿宋_GB2312" w:cs="仿宋_GB2312"/>
          <w:i w:val="0"/>
          <w:caps w:val="0"/>
          <w:color w:val="333333"/>
          <w:spacing w:val="0"/>
          <w:kern w:val="0"/>
          <w:sz w:val="28"/>
          <w:szCs w:val="28"/>
          <w:u w:val="single"/>
          <w:bdr w:val="none" w:color="auto" w:sz="0" w:space="0"/>
          <w:lang w:val="en-US" w:eastAsia="zh-CN" w:bidi="ar"/>
        </w:rPr>
        <w:t>      </w:t>
      </w:r>
      <w:r>
        <w:rPr>
          <w:rFonts w:hint="eastAsia" w:ascii="仿宋_GB2312" w:hAnsi="宋体" w:eastAsia="仿宋_GB2312" w:cs="仿宋_GB2312"/>
          <w:i w:val="0"/>
          <w:caps w:val="0"/>
          <w:color w:val="333333"/>
          <w:spacing w:val="0"/>
          <w:kern w:val="0"/>
          <w:sz w:val="28"/>
          <w:szCs w:val="28"/>
          <w:bdr w:val="none" w:color="auto" w:sz="0" w:space="0"/>
          <w:lang w:val="en-US" w:eastAsia="zh-CN" w:bidi="ar"/>
        </w:rPr>
        <w:t>个，分类说明如下：</w:t>
      </w:r>
    </w:p>
    <w:tbl>
      <w:tblPr>
        <w:tblW w:w="8522" w:type="dxa"/>
        <w:jc w:val="center"/>
        <w:tblInd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tblLayout w:type="fixed"/>
        <w:tblCellMar>
          <w:top w:w="0" w:type="dxa"/>
          <w:left w:w="0" w:type="dxa"/>
          <w:bottom w:w="0" w:type="dxa"/>
          <w:right w:w="0" w:type="dxa"/>
        </w:tblCellMar>
      </w:tblPr>
      <w:tblGrid>
        <w:gridCol w:w="2802"/>
        <w:gridCol w:w="992"/>
        <w:gridCol w:w="992"/>
        <w:gridCol w:w="3736"/>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tblLayout w:type="fixed"/>
          <w:tblCellMar>
            <w:top w:w="0" w:type="dxa"/>
            <w:left w:w="0" w:type="dxa"/>
            <w:bottom w:w="0" w:type="dxa"/>
            <w:right w:w="0" w:type="dxa"/>
          </w:tblCellMar>
        </w:tblPrEx>
        <w:trPr>
          <w:jc w:val="center"/>
        </w:trPr>
        <w:tc>
          <w:tcPr>
            <w:tcW w:w="2802" w:type="dxa"/>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项目</w:t>
            </w:r>
          </w:p>
        </w:tc>
        <w:tc>
          <w:tcPr>
            <w:tcW w:w="992" w:type="dxa"/>
            <w:tcBorders>
              <w:top w:val="single" w:color="000000" w:sz="8" w:space="0"/>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数量</w:t>
            </w:r>
          </w:p>
        </w:tc>
        <w:tc>
          <w:tcPr>
            <w:tcW w:w="992" w:type="dxa"/>
            <w:tcBorders>
              <w:top w:val="single" w:color="000000" w:sz="8" w:space="0"/>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比上年增减</w:t>
            </w:r>
          </w:p>
        </w:tc>
        <w:tc>
          <w:tcPr>
            <w:tcW w:w="3736" w:type="dxa"/>
            <w:tcBorders>
              <w:top w:val="single" w:color="000000" w:sz="8" w:space="0"/>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变动原因说明</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802"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合    计</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6"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802"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一、单户表</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1</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6"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802"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二、行政单位汇总录入表</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1</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6"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802"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三、事业单位汇总录入表</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6"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802"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四、经费自理事业单位汇总录入表</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6"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802"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五、乡镇汇总录入表</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6"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802"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六、其他单位汇总录入表</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6"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802"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七、经费差额表</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6"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802"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八、调整表</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6"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802"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九、叠加汇总表</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992"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3736"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bl>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496" w:right="0" w:hanging="496"/>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333333"/>
          <w:spacing w:val="0"/>
          <w:kern w:val="0"/>
          <w:sz w:val="28"/>
          <w:szCs w:val="28"/>
          <w:bdr w:val="none" w:color="auto" w:sz="0" w:space="0"/>
          <w:lang w:val="en-US" w:eastAsia="zh-CN" w:bidi="ar"/>
        </w:rPr>
        <w:t>注：主管部门使用经费差额表代编收支及使用调整表调整收支重复汇总数的情况需另作说明，包括代编（或调整）的依据、涉及的单位和金额。</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60"/>
        <w:jc w:val="left"/>
        <w:rPr>
          <w:rFonts w:hint="eastAsia" w:ascii="宋体" w:hAnsi="宋体" w:eastAsia="宋体" w:cs="宋体"/>
          <w:i w:val="0"/>
          <w:caps w:val="0"/>
          <w:color w:val="000000"/>
          <w:spacing w:val="0"/>
          <w:sz w:val="21"/>
          <w:szCs w:val="21"/>
        </w:rPr>
      </w:pPr>
      <w:r>
        <w:rPr>
          <w:rFonts w:hint="eastAsia" w:ascii="黑体" w:hAnsi="宋体" w:eastAsia="黑体" w:cs="黑体"/>
          <w:i w:val="0"/>
          <w:caps w:val="0"/>
          <w:color w:val="333333"/>
          <w:spacing w:val="0"/>
          <w:kern w:val="0"/>
          <w:sz w:val="28"/>
          <w:szCs w:val="28"/>
          <w:bdr w:val="none" w:color="auto" w:sz="0" w:space="0"/>
          <w:lang w:val="en-US" w:eastAsia="zh-CN" w:bidi="ar"/>
        </w:rPr>
        <w:t>二、基础数据核对情况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333333"/>
          <w:spacing w:val="0"/>
          <w:kern w:val="0"/>
          <w:sz w:val="28"/>
          <w:szCs w:val="28"/>
          <w:bdr w:val="none" w:color="auto" w:sz="0" w:space="0"/>
          <w:lang w:val="en-US" w:eastAsia="zh-CN" w:bidi="ar"/>
        </w:rPr>
        <w:t>（一）与财政部门对账情况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333333"/>
          <w:spacing w:val="0"/>
          <w:kern w:val="0"/>
          <w:sz w:val="28"/>
          <w:szCs w:val="28"/>
          <w:bdr w:val="none" w:color="auto" w:sz="0" w:space="0"/>
          <w:lang w:val="en-US" w:eastAsia="zh-CN" w:bidi="ar"/>
        </w:rPr>
        <w:t>1．财政拨款核对情况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333333"/>
          <w:spacing w:val="0"/>
          <w:kern w:val="0"/>
          <w:sz w:val="28"/>
          <w:szCs w:val="28"/>
          <w:bdr w:val="none" w:color="auto" w:sz="0" w:space="0"/>
          <w:lang w:val="en-US" w:eastAsia="zh-CN" w:bidi="ar"/>
        </w:rPr>
        <w:t>（1）单位本年度实际收到的公共预算财政拨款收入  182.67万元，财政部门拨款对账单182.67万元，差额0万元。对差额原因进行说明。</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9"/>
        <w:jc w:val="left"/>
        <w:rPr>
          <w:rFonts w:hint="eastAsia" w:ascii="宋体" w:hAnsi="宋体" w:eastAsia="宋体" w:cs="宋体"/>
          <w:i w:val="0"/>
          <w:caps w:val="0"/>
          <w:color w:val="000000"/>
          <w:spacing w:val="0"/>
          <w:sz w:val="21"/>
          <w:szCs w:val="21"/>
        </w:rPr>
      </w:pPr>
      <w:r>
        <w:rPr>
          <w:rFonts w:hint="eastAsia" w:ascii="仿宋" w:hAnsi="仿宋" w:eastAsia="仿宋" w:cs="仿宋"/>
          <w:i w:val="0"/>
          <w:caps w:val="0"/>
          <w:color w:val="333333"/>
          <w:spacing w:val="0"/>
          <w:kern w:val="0"/>
          <w:sz w:val="28"/>
          <w:szCs w:val="28"/>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49"/>
        <w:jc w:val="left"/>
        <w:rPr>
          <w:rFonts w:hint="eastAsia" w:ascii="宋体" w:hAnsi="宋体" w:eastAsia="宋体" w:cs="宋体"/>
          <w:i w:val="0"/>
          <w:caps w:val="0"/>
          <w:color w:val="000000"/>
          <w:spacing w:val="0"/>
          <w:sz w:val="21"/>
          <w:szCs w:val="21"/>
        </w:rPr>
      </w:pPr>
      <w:r>
        <w:rPr>
          <w:rFonts w:ascii="黑体" w:hAnsi="宋体" w:eastAsia="黑体" w:cs="黑体"/>
          <w:i w:val="0"/>
          <w:caps w:val="0"/>
          <w:color w:val="333333"/>
          <w:spacing w:val="0"/>
          <w:kern w:val="0"/>
          <w:sz w:val="28"/>
          <w:szCs w:val="28"/>
          <w:bdr w:val="none" w:color="auto" w:sz="0" w:space="0"/>
          <w:lang w:val="en-US" w:eastAsia="zh-CN" w:bidi="ar"/>
        </w:rPr>
        <w:t>三、报表审核情况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60"/>
        <w:jc w:val="left"/>
        <w:rPr>
          <w:rFonts w:hint="eastAsia" w:ascii="宋体" w:hAnsi="宋体" w:eastAsia="宋体" w:cs="宋体"/>
          <w:i w:val="0"/>
          <w:caps w:val="0"/>
          <w:color w:val="000000"/>
          <w:spacing w:val="0"/>
          <w:sz w:val="21"/>
          <w:szCs w:val="21"/>
        </w:rPr>
      </w:pPr>
      <w:r>
        <w:rPr>
          <w:rFonts w:ascii="仿宋_GB2312" w:hAnsi="宋体" w:eastAsia="仿宋_GB2312" w:cs="仿宋_GB2312"/>
          <w:i w:val="0"/>
          <w:caps w:val="0"/>
          <w:color w:val="333333"/>
          <w:spacing w:val="0"/>
          <w:kern w:val="0"/>
          <w:sz w:val="28"/>
          <w:szCs w:val="28"/>
          <w:bdr w:val="none" w:color="auto" w:sz="0" w:space="0"/>
          <w:lang w:val="en-US" w:eastAsia="zh-CN" w:bidi="ar"/>
        </w:rPr>
        <w:t>（一）审核情况</w:t>
      </w:r>
    </w:p>
    <w:tbl>
      <w:tblPr>
        <w:tblW w:w="9328" w:type="dxa"/>
        <w:jc w:val="center"/>
        <w:tblInd w:w="-403"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tblLayout w:type="fixed"/>
        <w:tblCellMar>
          <w:top w:w="0" w:type="dxa"/>
          <w:left w:w="0" w:type="dxa"/>
          <w:bottom w:w="0" w:type="dxa"/>
          <w:right w:w="0" w:type="dxa"/>
        </w:tblCellMar>
      </w:tblPr>
      <w:tblGrid>
        <w:gridCol w:w="2951"/>
        <w:gridCol w:w="2189"/>
        <w:gridCol w:w="2094"/>
        <w:gridCol w:w="2094"/>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tblLayout w:type="fixed"/>
          <w:tblCellMar>
            <w:top w:w="0" w:type="dxa"/>
            <w:left w:w="0" w:type="dxa"/>
            <w:bottom w:w="0" w:type="dxa"/>
            <w:right w:w="0" w:type="dxa"/>
          </w:tblCellMar>
        </w:tblPrEx>
        <w:trPr>
          <w:jc w:val="center"/>
        </w:trPr>
        <w:tc>
          <w:tcPr>
            <w:tcW w:w="2951" w:type="dxa"/>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审核项目</w:t>
            </w:r>
          </w:p>
        </w:tc>
        <w:tc>
          <w:tcPr>
            <w:tcW w:w="2189" w:type="dxa"/>
            <w:tcBorders>
              <w:top w:val="single" w:color="000000" w:sz="8" w:space="0"/>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数量</w:t>
            </w:r>
          </w:p>
        </w:tc>
        <w:tc>
          <w:tcPr>
            <w:tcW w:w="2094" w:type="dxa"/>
            <w:tcBorders>
              <w:top w:val="single" w:color="000000" w:sz="8" w:space="0"/>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提示内容</w:t>
            </w:r>
          </w:p>
        </w:tc>
        <w:tc>
          <w:tcPr>
            <w:tcW w:w="2094" w:type="dxa"/>
            <w:tcBorders>
              <w:top w:val="single" w:color="000000" w:sz="8" w:space="0"/>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单位说明</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951"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一、审核公式</w:t>
            </w:r>
          </w:p>
        </w:tc>
        <w:tc>
          <w:tcPr>
            <w:tcW w:w="2189"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XX条</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ascii="仿宋" w:hAnsi="仿宋" w:eastAsia="仿宋" w:cs="仿宋"/>
                <w:color w:val="535353"/>
                <w:kern w:val="0"/>
                <w:sz w:val="28"/>
                <w:szCs w:val="28"/>
                <w:bdr w:val="none" w:color="auto" w:sz="0" w:space="0"/>
                <w:lang w:val="en-US" w:eastAsia="zh-CN" w:bidi="ar"/>
              </w:rPr>
              <w:t> </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951"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1.表间公式</w:t>
            </w:r>
          </w:p>
        </w:tc>
        <w:tc>
          <w:tcPr>
            <w:tcW w:w="2189"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XX条</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951"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A0-XXX</w:t>
            </w:r>
          </w:p>
        </w:tc>
        <w:tc>
          <w:tcPr>
            <w:tcW w:w="2189"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XX条</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951"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A0-XXX</w:t>
            </w:r>
          </w:p>
        </w:tc>
        <w:tc>
          <w:tcPr>
            <w:tcW w:w="2189"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XX条</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951"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w:t>
            </w:r>
          </w:p>
        </w:tc>
        <w:tc>
          <w:tcPr>
            <w:tcW w:w="2189"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951"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2.表内公式</w:t>
            </w:r>
          </w:p>
        </w:tc>
        <w:tc>
          <w:tcPr>
            <w:tcW w:w="2189"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1条</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951"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[F03]</w:t>
            </w:r>
          </w:p>
        </w:tc>
        <w:tc>
          <w:tcPr>
            <w:tcW w:w="2189"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1条</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离退休人员应填列在离退休功能科目下</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没有单独设立离退休功能科目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951"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2189"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951"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w:t>
            </w:r>
          </w:p>
        </w:tc>
        <w:tc>
          <w:tcPr>
            <w:tcW w:w="2189"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951"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二、审核模板</w:t>
            </w:r>
          </w:p>
        </w:tc>
        <w:tc>
          <w:tcPr>
            <w:tcW w:w="2189"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951"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01</w:t>
            </w:r>
          </w:p>
        </w:tc>
        <w:tc>
          <w:tcPr>
            <w:tcW w:w="2189"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XX个单位</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951"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02</w:t>
            </w:r>
          </w:p>
        </w:tc>
        <w:tc>
          <w:tcPr>
            <w:tcW w:w="2189"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XX个单位</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2951" w:type="dxa"/>
            <w:tcBorders>
              <w:top w:val="nil"/>
              <w:left w:val="single" w:color="000000" w:sz="8" w:space="0"/>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w:t>
            </w:r>
          </w:p>
        </w:tc>
        <w:tc>
          <w:tcPr>
            <w:tcW w:w="2189"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_GB2312" w:eastAsia="仿宋_GB2312" w:cs="仿宋_GB2312" w:hAnsiTheme="minorHAnsi"/>
                <w:color w:val="535353"/>
                <w:kern w:val="0"/>
                <w:sz w:val="28"/>
                <w:szCs w:val="28"/>
                <w:bdr w:val="none" w:color="auto" w:sz="0" w:space="0"/>
                <w:lang w:val="en-US" w:eastAsia="zh-CN" w:bidi="ar"/>
              </w:rPr>
              <w:t>…</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c>
          <w:tcPr>
            <w:tcW w:w="2094" w:type="dxa"/>
            <w:tcBorders>
              <w:top w:val="nil"/>
              <w:left w:val="nil"/>
              <w:bottom w:val="single" w:color="000000" w:sz="8" w:space="0"/>
              <w:right w:val="single" w:color="000000" w:sz="8" w:space="0"/>
            </w:tcBorders>
            <w:shd w:val="clear"/>
            <w:tcMar>
              <w:left w:w="108"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jc w:val="center"/>
            </w:pPr>
            <w:r>
              <w:rPr>
                <w:rFonts w:hint="eastAsia" w:ascii="仿宋" w:hAnsi="仿宋" w:eastAsia="仿宋" w:cs="仿宋"/>
                <w:color w:val="535353"/>
                <w:kern w:val="0"/>
                <w:sz w:val="28"/>
                <w:szCs w:val="28"/>
                <w:bdr w:val="none" w:color="auto" w:sz="0" w:space="0"/>
                <w:lang w:val="en-US" w:eastAsia="zh-CN" w:bidi="ar"/>
              </w:rPr>
              <w:t> </w:t>
            </w:r>
          </w:p>
        </w:tc>
      </w:tr>
    </w:tbl>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60"/>
        <w:jc w:val="left"/>
        <w:rPr>
          <w:rFonts w:hint="eastAsia" w:ascii="宋体" w:hAnsi="宋体" w:eastAsia="宋体" w:cs="宋体"/>
          <w:i w:val="0"/>
          <w:caps w:val="0"/>
          <w:color w:val="000000"/>
          <w:spacing w:val="0"/>
          <w:sz w:val="21"/>
          <w:szCs w:val="21"/>
        </w:rPr>
      </w:pPr>
      <w:r>
        <w:rPr>
          <w:rFonts w:hint="eastAsia" w:ascii="仿宋" w:hAnsi="仿宋" w:eastAsia="仿宋" w:cs="仿宋"/>
          <w:i w:val="0"/>
          <w:caps w:val="0"/>
          <w:color w:val="333333"/>
          <w:spacing w:val="0"/>
          <w:kern w:val="0"/>
          <w:sz w:val="28"/>
          <w:szCs w:val="28"/>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60"/>
        <w:jc w:val="left"/>
        <w:rPr>
          <w:rFonts w:hint="eastAsia" w:ascii="宋体" w:hAnsi="宋体" w:eastAsia="宋体" w:cs="宋体"/>
          <w:i w:val="0"/>
          <w:caps w:val="0"/>
          <w:color w:val="000000"/>
          <w:spacing w:val="0"/>
          <w:sz w:val="21"/>
          <w:szCs w:val="21"/>
        </w:rPr>
      </w:pPr>
      <w:r>
        <w:rPr>
          <w:rFonts w:hint="eastAsia" w:ascii="仿宋" w:hAnsi="仿宋" w:eastAsia="仿宋" w:cs="仿宋"/>
          <w:i w:val="0"/>
          <w:caps w:val="0"/>
          <w:color w:val="333333"/>
          <w:spacing w:val="0"/>
          <w:kern w:val="0"/>
          <w:sz w:val="28"/>
          <w:szCs w:val="28"/>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560"/>
        <w:jc w:val="left"/>
        <w:rPr>
          <w:rFonts w:hint="eastAsia" w:ascii="宋体" w:hAnsi="宋体" w:eastAsia="宋体" w:cs="宋体"/>
          <w:i w:val="0"/>
          <w:caps w:val="0"/>
          <w:color w:val="000000"/>
          <w:spacing w:val="0"/>
          <w:sz w:val="21"/>
          <w:szCs w:val="21"/>
        </w:rPr>
      </w:pPr>
      <w:r>
        <w:rPr>
          <w:rFonts w:ascii="黑体" w:hAnsi="宋体" w:eastAsia="黑体" w:cs="黑体"/>
          <w:i w:val="0"/>
          <w:caps w:val="0"/>
          <w:color w:val="333333"/>
          <w:spacing w:val="0"/>
          <w:kern w:val="0"/>
          <w:sz w:val="28"/>
          <w:szCs w:val="28"/>
          <w:bdr w:val="none" w:color="auto" w:sz="0" w:space="0"/>
          <w:lang w:val="en-US" w:eastAsia="zh-CN" w:bidi="ar"/>
        </w:rPr>
        <w:t>四、决算数据其他需要说明的情况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560"/>
        <w:jc w:val="left"/>
        <w:rPr>
          <w:rFonts w:hint="eastAsia" w:ascii="宋体" w:hAnsi="宋体" w:eastAsia="宋体" w:cs="宋体"/>
          <w:i w:val="0"/>
          <w:caps w:val="0"/>
          <w:color w:val="000000"/>
          <w:spacing w:val="0"/>
          <w:sz w:val="21"/>
          <w:szCs w:val="21"/>
        </w:rPr>
      </w:pPr>
      <w:r>
        <w:rPr>
          <w:rFonts w:ascii="仿宋_GB2312" w:hAnsi="宋体" w:eastAsia="仿宋_GB2312" w:cs="仿宋_GB2312"/>
          <w:i w:val="0"/>
          <w:caps w:val="0"/>
          <w:color w:val="333333"/>
          <w:spacing w:val="0"/>
          <w:kern w:val="0"/>
          <w:sz w:val="28"/>
          <w:szCs w:val="28"/>
          <w:bdr w:val="none" w:color="auto" w:sz="0" w:space="0"/>
          <w:lang w:val="en-US" w:eastAsia="zh-CN" w:bidi="ar"/>
        </w:rPr>
        <w:t>（一）年末公务用车的保有量为</w:t>
      </w:r>
      <w:r>
        <w:rPr>
          <w:rFonts w:hint="eastAsia" w:ascii="仿宋_GB2312" w:hAnsi="宋体" w:eastAsia="仿宋_GB2312" w:cs="仿宋_GB2312"/>
          <w:i w:val="0"/>
          <w:caps w:val="0"/>
          <w:color w:val="333333"/>
          <w:spacing w:val="0"/>
          <w:kern w:val="0"/>
          <w:sz w:val="28"/>
          <w:szCs w:val="28"/>
          <w:bdr w:val="none" w:color="auto" w:sz="0" w:space="0"/>
          <w:lang w:val="en-US" w:eastAsia="zh-CN" w:bidi="ar"/>
        </w:rPr>
        <w:t>2辆。</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333333"/>
          <w:spacing w:val="0"/>
          <w:kern w:val="0"/>
          <w:sz w:val="28"/>
          <w:szCs w:val="28"/>
          <w:bdr w:val="none" w:color="auto" w:sz="0" w:space="0"/>
          <w:lang w:val="en-US" w:eastAsia="zh-CN" w:bidi="ar"/>
        </w:rPr>
        <w:t>（二）“三公经费”中因公出国（境）团组数及人数、公务接待的支出情况说明如下：</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42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333333"/>
          <w:spacing w:val="0"/>
          <w:kern w:val="0"/>
          <w:sz w:val="28"/>
          <w:szCs w:val="28"/>
          <w:bdr w:val="none" w:color="auto" w:sz="0" w:space="0"/>
          <w:lang w:val="en-US" w:eastAsia="zh-CN" w:bidi="ar"/>
        </w:rPr>
        <w:t>1、 因公出国（境）团组数及人数情况说明如下：</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56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333333"/>
          <w:spacing w:val="0"/>
          <w:kern w:val="0"/>
          <w:sz w:val="28"/>
          <w:szCs w:val="28"/>
          <w:bdr w:val="none" w:color="auto" w:sz="0" w:space="0"/>
          <w:lang w:val="en-US" w:eastAsia="zh-CN" w:bidi="ar"/>
        </w:rPr>
        <w:t>经冀政出字〔2014〕0187号批件和市委、市政府批准，市侨联主席胡翎1人，于2014年12月6日至13日随河北省侨联代表团访问丹麦和瑞士，因公出国费用共计2.94万元。</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42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333333"/>
          <w:spacing w:val="0"/>
          <w:kern w:val="0"/>
          <w:sz w:val="28"/>
          <w:szCs w:val="28"/>
          <w:bdr w:val="none" w:color="auto" w:sz="0" w:space="0"/>
          <w:lang w:val="en-US" w:eastAsia="zh-CN" w:bidi="ar"/>
        </w:rPr>
        <w:t>2、公务接待的支出情况说明如下：</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42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333333"/>
          <w:spacing w:val="0"/>
          <w:kern w:val="0"/>
          <w:sz w:val="28"/>
          <w:szCs w:val="28"/>
          <w:bdr w:val="none" w:color="auto" w:sz="0" w:space="0"/>
          <w:lang w:val="en-US" w:eastAsia="zh-CN" w:bidi="ar"/>
        </w:rPr>
        <w:t>（1）石洽会、动博会、2014省会夏季中高级人才洽谈会暨首届省会海外归国人才洽谈会等各类招商活动，华商会、海外人才联谊会等活动，看望和接待海外友好社团80个和海外知名人士125批300人次，“中秋”、“春节”等传统节日慰问贫困、生病老归侨和海外来石创业的知名企业家等，合计以上几项活动的公务接待费为3.43万元。</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42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333333"/>
          <w:spacing w:val="0"/>
          <w:kern w:val="0"/>
          <w:sz w:val="28"/>
          <w:szCs w:val="28"/>
          <w:bdr w:val="none" w:color="auto" w:sz="0" w:space="0"/>
          <w:lang w:val="en-US" w:eastAsia="zh-CN" w:bidi="ar"/>
        </w:rPr>
        <w:t>    （2）主席会常委会全委会、委员联谊活动、信息宣传工作会议、老年委工作会议等，参加全国大中城市经验交流会、权益保障工作会和宣传工作等，组织侨界人大代表和政协委员开展视察调研活动等，合计以上几项活动的公务接待费为0.92万元。</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firstLine="420"/>
        <w:jc w:val="both"/>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000000"/>
          <w:spacing w:val="0"/>
          <w:sz w:val="28"/>
          <w:szCs w:val="28"/>
          <w:bdr w:val="none" w:color="auto" w:sz="0" w:space="0"/>
        </w:rPr>
        <w:t>（三）</w:t>
      </w:r>
      <w:r>
        <w:rPr>
          <w:rFonts w:hint="eastAsia" w:ascii="仿宋_GB2312" w:hAnsi="宋体" w:eastAsia="仿宋_GB2312" w:cs="仿宋_GB2312"/>
          <w:i w:val="0"/>
          <w:caps w:val="0"/>
          <w:color w:val="535353"/>
          <w:spacing w:val="0"/>
          <w:sz w:val="28"/>
          <w:szCs w:val="28"/>
          <w:bdr w:val="none" w:color="auto" w:sz="0" w:space="0"/>
        </w:rPr>
        <w:t>三公经费增减说明</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firstLine="48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535353"/>
          <w:spacing w:val="0"/>
          <w:kern w:val="0"/>
          <w:sz w:val="28"/>
          <w:szCs w:val="28"/>
          <w:bdr w:val="none" w:color="auto" w:sz="0" w:space="0"/>
          <w:lang w:val="en-US" w:eastAsia="zh-CN" w:bidi="ar"/>
        </w:rPr>
        <w:t>1、因公出国(境)费用。2014年因公出国（境）费用增加。经冀政出字〔2014〕0187号批件和市委、市政府批准，市侨联主席胡翎1人，于2014年12月6日至13日随河北省侨联代表团访问丹麦和瑞士，因公出国费用共计2.94万元。</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firstLine="60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535353"/>
          <w:spacing w:val="0"/>
          <w:kern w:val="0"/>
          <w:sz w:val="28"/>
          <w:szCs w:val="28"/>
          <w:bdr w:val="none" w:color="auto" w:sz="0" w:space="0"/>
          <w:lang w:val="en-US" w:eastAsia="zh-CN" w:bidi="ar"/>
        </w:rPr>
        <w:t>2、公务接待费。2014年相比2013年减少，主要原因是落实中央和我市的有关规定，并进一步加强管理，要求本单位严格控制公务接待费预算。</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4" w:lineRule="atLeast"/>
        <w:ind w:left="0" w:right="0" w:firstLine="600"/>
        <w:jc w:val="left"/>
        <w:rPr>
          <w:rFonts w:hint="eastAsia" w:ascii="宋体" w:hAnsi="宋体" w:eastAsia="宋体" w:cs="宋体"/>
          <w:i w:val="0"/>
          <w:caps w:val="0"/>
          <w:color w:val="000000"/>
          <w:spacing w:val="0"/>
          <w:sz w:val="21"/>
          <w:szCs w:val="21"/>
        </w:rPr>
      </w:pPr>
      <w:r>
        <w:rPr>
          <w:rFonts w:hint="eastAsia" w:ascii="仿宋_GB2312" w:hAnsi="宋体" w:eastAsia="仿宋_GB2312" w:cs="仿宋_GB2312"/>
          <w:i w:val="0"/>
          <w:caps w:val="0"/>
          <w:color w:val="535353"/>
          <w:spacing w:val="0"/>
          <w:kern w:val="0"/>
          <w:sz w:val="28"/>
          <w:szCs w:val="28"/>
          <w:bdr w:val="none" w:color="auto" w:sz="0" w:space="0"/>
          <w:lang w:val="en-US" w:eastAsia="zh-CN" w:bidi="ar"/>
        </w:rPr>
        <w:t>3、公务用车购置和运行维护费。2014年相比2013减少，主要原因是贯彻落实中央关于改革公务用车配给方式的相关要求，公务用车运行维护费要进一步加强管理，减少公务用车运行费用。</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B004843"/>
    <w:rsid w:val="6D535020"/>
    <w:rsid w:val="7B0048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Kingsoft\wps\addons\pool\win-i386\knewfileruby_1.0.0.12\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TotalTime>1</TotalTime>
  <ScaleCrop>false</ScaleCrop>
  <LinksUpToDate>false</LinksUpToDate>
  <CharactersWithSpaces>0</CharactersWithSpaces>
  <Application>WPS Office_10.1.0.7520_F1E327BC-269C-435d-A152-05C5408002CA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2018-09-13T06:56:00Z</dcterms:created>
  <dc:creator>Administrator</dc:creator>
  <cp:lastModifiedBy>Administrator</cp:lastModifiedBy>
  <dcterms:modified xsi:type="dcterms:W3CDTF">2018-09-13T06:57:07Z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2052-10.1.0.7520</vt:lpwstr>
  </property>
</Properties>
</file>