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before="648" w:beforeLines="200" w:after="486" w:afterLines="150"/>
        <w:jc w:val="center"/>
        <w:rPr>
          <w:rFonts w:hint="eastAsia" w:ascii="仿宋" w:hAnsi="仿宋" w:eastAsia="仿宋" w:cs="仿宋"/>
          <w:b/>
          <w:bCs/>
          <w:sz w:val="44"/>
          <w:szCs w:val="44"/>
        </w:rPr>
      </w:pPr>
      <w:r>
        <w:rPr>
          <w:rFonts w:hint="eastAsia" w:ascii="仿宋" w:hAnsi="仿宋" w:eastAsia="仿宋" w:cs="仿宋"/>
          <w:b/>
          <w:bCs/>
          <w:sz w:val="44"/>
          <w:szCs w:val="44"/>
        </w:rPr>
        <w:t>石家庄市直机关第一幼儿园2019年部门预算</w:t>
      </w:r>
      <w:r>
        <w:rPr>
          <w:rFonts w:hint="eastAsia" w:ascii="仿宋" w:hAnsi="仿宋" w:eastAsia="仿宋" w:cs="仿宋"/>
          <w:b/>
          <w:bCs/>
          <w:sz w:val="44"/>
          <w:szCs w:val="44"/>
          <w:lang w:eastAsia="zh-CN"/>
        </w:rPr>
        <w:t>信息</w:t>
      </w:r>
      <w:r>
        <w:rPr>
          <w:rFonts w:hint="eastAsia" w:ascii="仿宋" w:hAnsi="仿宋" w:eastAsia="仿宋" w:cs="仿宋"/>
          <w:b/>
          <w:bCs/>
          <w:sz w:val="44"/>
          <w:szCs w:val="44"/>
        </w:rPr>
        <w:t>公开</w:t>
      </w:r>
      <w:r>
        <w:rPr>
          <w:rFonts w:hint="eastAsia" w:ascii="仿宋" w:hAnsi="仿宋" w:eastAsia="仿宋" w:cs="仿宋"/>
          <w:b/>
          <w:bCs/>
          <w:sz w:val="44"/>
          <w:szCs w:val="44"/>
          <w:lang w:eastAsia="zh-CN"/>
        </w:rPr>
        <w:t>情况</w:t>
      </w:r>
      <w:r>
        <w:rPr>
          <w:rFonts w:hint="eastAsia" w:ascii="仿宋" w:hAnsi="仿宋" w:eastAsia="仿宋" w:cs="仿宋"/>
          <w:b/>
          <w:bCs/>
          <w:sz w:val="44"/>
          <w:szCs w:val="44"/>
        </w:rPr>
        <w:t>说明</w:t>
      </w:r>
    </w:p>
    <w:p>
      <w:pPr>
        <w:ind w:firstLine="640" w:firstLineChars="200"/>
        <w:jc w:val="left"/>
        <w:rPr>
          <w:rFonts w:hint="eastAsia" w:ascii="仿宋" w:hAnsi="仿宋" w:eastAsia="仿宋" w:cs="仿宋"/>
          <w:b/>
          <w:sz w:val="32"/>
          <w:szCs w:val="32"/>
        </w:rPr>
      </w:pPr>
      <w:r>
        <w:rPr>
          <w:rFonts w:hint="eastAsia" w:ascii="仿宋" w:hAnsi="仿宋" w:eastAsia="仿宋" w:cs="仿宋"/>
          <w:bCs/>
          <w:sz w:val="32"/>
          <w:szCs w:val="32"/>
        </w:rPr>
        <w:t>按照《预算法》、《地方预决算公开操作规程》和《河北省省级预算公开办法》规定，现将石家庄市直机关第一幼儿园2019 年部门预算公开如下：</w:t>
      </w:r>
    </w:p>
    <w:p>
      <w:pPr>
        <w:ind w:firstLine="640" w:firstLineChars="200"/>
        <w:jc w:val="left"/>
        <w:rPr>
          <w:rFonts w:hint="eastAsia" w:ascii="黑体" w:hAnsi="黑体" w:eastAsia="黑体" w:cs="黑体"/>
          <w:bCs/>
          <w:sz w:val="32"/>
          <w:szCs w:val="32"/>
        </w:rPr>
      </w:pPr>
      <w:r>
        <w:rPr>
          <w:rFonts w:hint="eastAsia" w:ascii="黑体" w:hAnsi="黑体" w:eastAsia="黑体" w:cs="黑体"/>
          <w:bCs/>
          <w:sz w:val="32"/>
          <w:szCs w:val="32"/>
        </w:rPr>
        <w:t>一、部门职责及机构设置情况</w:t>
      </w:r>
    </w:p>
    <w:p>
      <w:pPr>
        <w:ind w:firstLine="562" w:firstLineChars="200"/>
        <w:jc w:val="left"/>
        <w:rPr>
          <w:rFonts w:hint="eastAsia" w:ascii="仿宋" w:hAnsi="仿宋" w:eastAsia="仿宋" w:cs="仿宋"/>
          <w:b/>
          <w:bCs/>
          <w:sz w:val="28"/>
          <w:szCs w:val="28"/>
        </w:rPr>
      </w:pPr>
      <w:r>
        <w:rPr>
          <w:rFonts w:hint="eastAsia" w:ascii="仿宋" w:hAnsi="仿宋" w:eastAsia="仿宋" w:cs="仿宋"/>
          <w:b/>
          <w:bCs/>
          <w:sz w:val="28"/>
          <w:szCs w:val="28"/>
        </w:rPr>
        <w:t>部门职责：</w:t>
      </w:r>
    </w:p>
    <w:p>
      <w:pPr>
        <w:ind w:firstLine="560" w:firstLineChars="200"/>
        <w:jc w:val="left"/>
        <w:rPr>
          <w:rFonts w:hint="eastAsia" w:ascii="仿宋" w:hAnsi="仿宋" w:eastAsia="仿宋" w:cs="仿宋"/>
          <w:sz w:val="28"/>
          <w:szCs w:val="28"/>
        </w:rPr>
      </w:pPr>
      <w:r>
        <w:rPr>
          <w:rFonts w:hint="eastAsia" w:ascii="仿宋" w:hAnsi="仿宋" w:eastAsia="仿宋" w:cs="仿宋"/>
          <w:sz w:val="28"/>
          <w:szCs w:val="28"/>
        </w:rPr>
        <w:t>本部门职责为：为学龄前儿童提供保育和教育服务。</w:t>
      </w:r>
    </w:p>
    <w:p>
      <w:pPr>
        <w:ind w:firstLine="562" w:firstLineChars="200"/>
        <w:jc w:val="left"/>
        <w:rPr>
          <w:rFonts w:hint="eastAsia" w:ascii="仿宋" w:hAnsi="仿宋" w:eastAsia="仿宋" w:cs="仿宋"/>
          <w:sz w:val="28"/>
          <w:szCs w:val="28"/>
        </w:rPr>
      </w:pPr>
      <w:r>
        <w:rPr>
          <w:rFonts w:hint="eastAsia" w:ascii="仿宋" w:hAnsi="仿宋" w:eastAsia="仿宋" w:cs="仿宋"/>
          <w:b/>
          <w:bCs/>
          <w:sz w:val="28"/>
          <w:szCs w:val="28"/>
        </w:rPr>
        <w:t>机构设置：</w:t>
      </w:r>
    </w:p>
    <w:p>
      <w:pPr>
        <w:jc w:val="center"/>
        <w:outlineLvl w:val="0"/>
        <w:rPr>
          <w:rFonts w:hint="eastAsia" w:ascii="仿宋" w:hAnsi="仿宋" w:eastAsia="仿宋"/>
          <w:sz w:val="28"/>
          <w:szCs w:val="28"/>
        </w:rPr>
      </w:pPr>
      <w:r>
        <w:rPr>
          <w:rFonts w:hint="eastAsia" w:ascii="仿宋" w:hAnsi="仿宋" w:eastAsia="仿宋"/>
          <w:sz w:val="28"/>
          <w:szCs w:val="28"/>
        </w:rPr>
        <w:t>部门机构设置情况</w:t>
      </w:r>
    </w:p>
    <w:tbl>
      <w:tblPr>
        <w:tblStyle w:val="8"/>
        <w:tblW w:w="12189" w:type="dxa"/>
        <w:tblInd w:w="102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4"/>
        <w:gridCol w:w="1145"/>
        <w:gridCol w:w="685"/>
        <w:gridCol w:w="1755"/>
        <w:gridCol w:w="550"/>
        <w:gridCol w:w="32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3230" w:type="dxa"/>
          <w:trHeight w:val="227" w:hRule="atLeast"/>
          <w:tblHeader/>
        </w:trPr>
        <w:tc>
          <w:tcPr>
            <w:tcW w:w="5969" w:type="dxa"/>
            <w:gridSpan w:val="2"/>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sz w:val="24"/>
              </w:rPr>
            </w:pPr>
          </w:p>
        </w:tc>
        <w:tc>
          <w:tcPr>
            <w:tcW w:w="2990" w:type="dxa"/>
            <w:gridSpan w:val="3"/>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24"/>
              </w:rPr>
            </w:pPr>
            <w:r>
              <w:rPr>
                <w:rFonts w:hint="eastAsia" w:ascii="仿宋" w:hAnsi="仿宋" w:eastAsia="仿宋"/>
                <w:sz w:val="24"/>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trPr>
        <w:tc>
          <w:tcPr>
            <w:tcW w:w="4824" w:type="dxa"/>
            <w:vMerge w:val="restart"/>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单位名称</w:t>
            </w:r>
          </w:p>
        </w:tc>
        <w:tc>
          <w:tcPr>
            <w:tcW w:w="1830" w:type="dxa"/>
            <w:gridSpan w:val="2"/>
            <w:vMerge w:val="restart"/>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单位性质</w:t>
            </w:r>
          </w:p>
        </w:tc>
        <w:tc>
          <w:tcPr>
            <w:tcW w:w="1755" w:type="dxa"/>
            <w:vMerge w:val="restart"/>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单位规格</w:t>
            </w:r>
          </w:p>
        </w:tc>
        <w:tc>
          <w:tcPr>
            <w:tcW w:w="3780" w:type="dxa"/>
            <w:gridSpan w:val="2"/>
            <w:vMerge w:val="restart"/>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trPr>
        <w:tc>
          <w:tcPr>
            <w:tcW w:w="4824" w:type="dxa"/>
            <w:vMerge w:val="continue"/>
            <w:vAlign w:val="bottom"/>
          </w:tcPr>
          <w:p>
            <w:pPr>
              <w:spacing w:line="300" w:lineRule="exact"/>
              <w:jc w:val="center"/>
              <w:outlineLvl w:val="0"/>
              <w:rPr>
                <w:rFonts w:hint="eastAsia" w:ascii="仿宋" w:hAnsi="仿宋" w:eastAsia="仿宋" w:cs="仿宋"/>
                <w:bCs/>
                <w:sz w:val="28"/>
                <w:szCs w:val="28"/>
              </w:rPr>
            </w:pPr>
          </w:p>
        </w:tc>
        <w:tc>
          <w:tcPr>
            <w:tcW w:w="1830" w:type="dxa"/>
            <w:gridSpan w:val="2"/>
            <w:vMerge w:val="continue"/>
            <w:vAlign w:val="bottom"/>
          </w:tcPr>
          <w:p>
            <w:pPr>
              <w:spacing w:line="300" w:lineRule="exact"/>
              <w:jc w:val="center"/>
              <w:outlineLvl w:val="0"/>
              <w:rPr>
                <w:rFonts w:hint="eastAsia" w:ascii="仿宋" w:hAnsi="仿宋" w:eastAsia="仿宋" w:cs="仿宋"/>
                <w:bCs/>
                <w:sz w:val="28"/>
                <w:szCs w:val="28"/>
              </w:rPr>
            </w:pPr>
          </w:p>
        </w:tc>
        <w:tc>
          <w:tcPr>
            <w:tcW w:w="1755" w:type="dxa"/>
            <w:vMerge w:val="continue"/>
            <w:vAlign w:val="bottom"/>
          </w:tcPr>
          <w:p>
            <w:pPr>
              <w:spacing w:line="300" w:lineRule="exact"/>
              <w:jc w:val="center"/>
              <w:outlineLvl w:val="0"/>
              <w:rPr>
                <w:rFonts w:hint="eastAsia" w:ascii="仿宋" w:hAnsi="仿宋" w:eastAsia="仿宋" w:cs="仿宋"/>
                <w:bCs/>
                <w:sz w:val="28"/>
                <w:szCs w:val="28"/>
              </w:rPr>
            </w:pPr>
          </w:p>
        </w:tc>
        <w:tc>
          <w:tcPr>
            <w:tcW w:w="3780" w:type="dxa"/>
            <w:gridSpan w:val="2"/>
            <w:vMerge w:val="continue"/>
            <w:vAlign w:val="bottom"/>
          </w:tcPr>
          <w:p>
            <w:pPr>
              <w:spacing w:line="300" w:lineRule="exact"/>
              <w:jc w:val="center"/>
              <w:outlineLvl w:val="0"/>
              <w:rPr>
                <w:rFonts w:hint="eastAsia" w:ascii="仿宋" w:hAnsi="仿宋" w:eastAsia="仿宋" w:cs="仿宋"/>
                <w:bCs/>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rPr>
        <w:tc>
          <w:tcPr>
            <w:tcW w:w="4824" w:type="dxa"/>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石家庄市直机关第一幼儿园</w:t>
            </w:r>
          </w:p>
        </w:tc>
        <w:tc>
          <w:tcPr>
            <w:tcW w:w="1830" w:type="dxa"/>
            <w:gridSpan w:val="2"/>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事业单位</w:t>
            </w:r>
          </w:p>
        </w:tc>
        <w:tc>
          <w:tcPr>
            <w:tcW w:w="1755" w:type="dxa"/>
            <w:vAlign w:val="bottom"/>
          </w:tcPr>
          <w:p>
            <w:pPr>
              <w:spacing w:line="300" w:lineRule="exact"/>
              <w:jc w:val="center"/>
              <w:rPr>
                <w:rFonts w:hint="eastAsia" w:ascii="仿宋" w:hAnsi="仿宋" w:eastAsia="仿宋" w:cs="仿宋"/>
                <w:bCs/>
                <w:sz w:val="28"/>
                <w:szCs w:val="28"/>
              </w:rPr>
            </w:pPr>
            <w:r>
              <w:rPr>
                <w:rFonts w:hint="eastAsia" w:ascii="仿宋" w:hAnsi="仿宋" w:eastAsia="仿宋" w:cs="仿宋"/>
                <w:bCs/>
                <w:sz w:val="28"/>
                <w:szCs w:val="28"/>
              </w:rPr>
              <w:t>正科</w:t>
            </w:r>
          </w:p>
        </w:tc>
        <w:tc>
          <w:tcPr>
            <w:tcW w:w="3780" w:type="dxa"/>
            <w:gridSpan w:val="2"/>
            <w:vAlign w:val="bottom"/>
          </w:tcPr>
          <w:p>
            <w:pPr>
              <w:pStyle w:val="13"/>
              <w:spacing w:before="62" w:after="0" w:line="253" w:lineRule="exact"/>
              <w:jc w:val="center"/>
              <w:rPr>
                <w:rFonts w:hint="eastAsia" w:ascii="仿宋" w:hAnsi="仿宋" w:eastAsia="仿宋" w:cs="仿宋"/>
                <w:bCs/>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rPr>
        <w:tc>
          <w:tcPr>
            <w:tcW w:w="4824" w:type="dxa"/>
            <w:vAlign w:val="center"/>
          </w:tcPr>
          <w:p>
            <w:pPr>
              <w:spacing w:line="300" w:lineRule="exact"/>
              <w:jc w:val="left"/>
              <w:rPr>
                <w:rFonts w:hint="eastAsia" w:ascii="仿宋" w:hAnsi="仿宋" w:eastAsia="仿宋"/>
              </w:rPr>
            </w:pPr>
          </w:p>
        </w:tc>
        <w:tc>
          <w:tcPr>
            <w:tcW w:w="1830" w:type="dxa"/>
            <w:gridSpan w:val="2"/>
            <w:vAlign w:val="center"/>
          </w:tcPr>
          <w:p>
            <w:pPr>
              <w:spacing w:line="300" w:lineRule="exact"/>
              <w:jc w:val="left"/>
              <w:rPr>
                <w:rFonts w:hint="eastAsia" w:ascii="仿宋" w:hAnsi="仿宋" w:eastAsia="仿宋"/>
              </w:rPr>
            </w:pPr>
          </w:p>
        </w:tc>
        <w:tc>
          <w:tcPr>
            <w:tcW w:w="1755" w:type="dxa"/>
            <w:vAlign w:val="center"/>
          </w:tcPr>
          <w:p>
            <w:pPr>
              <w:spacing w:line="300" w:lineRule="exact"/>
              <w:jc w:val="left"/>
              <w:rPr>
                <w:rFonts w:hint="eastAsia" w:ascii="仿宋" w:hAnsi="仿宋" w:eastAsia="仿宋"/>
              </w:rPr>
            </w:pPr>
          </w:p>
        </w:tc>
        <w:tc>
          <w:tcPr>
            <w:tcW w:w="3780" w:type="dxa"/>
            <w:gridSpan w:val="2"/>
            <w:vAlign w:val="center"/>
          </w:tcPr>
          <w:p>
            <w:pPr>
              <w:spacing w:line="300" w:lineRule="exact"/>
              <w:jc w:val="left"/>
              <w:rPr>
                <w:rFonts w:hint="eastAsia" w:ascii="仿宋" w:hAnsi="仿宋" w:eastAsia="仿宋"/>
              </w:rPr>
            </w:pPr>
          </w:p>
        </w:tc>
      </w:tr>
    </w:tbl>
    <w:p>
      <w:pPr>
        <w:ind w:firstLine="960" w:firstLineChars="300"/>
        <w:rPr>
          <w:rFonts w:hint="eastAsia" w:ascii="黑体" w:hAnsi="黑体" w:eastAsia="黑体" w:cs="黑体"/>
          <w:bCs/>
          <w:sz w:val="32"/>
          <w:szCs w:val="32"/>
        </w:rPr>
      </w:pPr>
      <w:r>
        <w:rPr>
          <w:rFonts w:hint="eastAsia" w:ascii="仿宋" w:hAnsi="仿宋" w:eastAsia="仿宋" w:cs="仿宋"/>
          <w:b w:val="0"/>
          <w:bCs/>
          <w:sz w:val="32"/>
          <w:szCs w:val="32"/>
          <w:lang w:eastAsia="zh-CN"/>
        </w:rPr>
        <w:t>本部门无下属单位和内设机构。</w:t>
      </w:r>
    </w:p>
    <w:p>
      <w:pPr>
        <w:rPr>
          <w:rFonts w:hint="eastAsia" w:ascii="黑体" w:hAnsi="黑体" w:eastAsia="黑体" w:cs="黑体"/>
          <w:bCs/>
          <w:sz w:val="32"/>
          <w:szCs w:val="32"/>
        </w:rPr>
      </w:pPr>
      <w:r>
        <w:rPr>
          <w:rFonts w:hint="eastAsia" w:ascii="黑体" w:hAnsi="黑体" w:eastAsia="黑体" w:cs="黑体"/>
          <w:bCs/>
          <w:sz w:val="32"/>
          <w:szCs w:val="32"/>
        </w:rPr>
        <w:t>二、部门预算安排的总体情况</w:t>
      </w:r>
    </w:p>
    <w:p>
      <w:pPr>
        <w:adjustRightInd w:val="0"/>
        <w:snapToGrid w:val="0"/>
        <w:spacing w:line="600" w:lineRule="exact"/>
        <w:jc w:val="left"/>
        <w:rPr>
          <w:rFonts w:hint="eastAsia" w:ascii="仿宋" w:hAnsi="仿宋" w:eastAsia="仿宋" w:cs="仿宋"/>
          <w:bCs/>
          <w:sz w:val="28"/>
          <w:szCs w:val="28"/>
        </w:rPr>
      </w:pPr>
      <w:r>
        <w:rPr>
          <w:rFonts w:hint="eastAsia" w:ascii="仿宋" w:hAnsi="仿宋" w:eastAsia="仿宋" w:cs="仿宋_GB2312"/>
          <w:bCs/>
          <w:sz w:val="32"/>
          <w:szCs w:val="32"/>
        </w:rPr>
        <w:t xml:space="preserve">   </w:t>
      </w:r>
      <w:r>
        <w:rPr>
          <w:rFonts w:hint="eastAsia" w:ascii="仿宋" w:hAnsi="仿宋" w:eastAsia="仿宋" w:cs="仿宋"/>
          <w:bCs/>
          <w:sz w:val="28"/>
          <w:szCs w:val="28"/>
        </w:rPr>
        <w:t xml:space="preserve"> 1、收入说明</w:t>
      </w:r>
    </w:p>
    <w:p>
      <w:pPr>
        <w:adjustRightInd w:val="0"/>
        <w:snapToGrid w:val="0"/>
        <w:spacing w:line="600" w:lineRule="exact"/>
        <w:ind w:firstLine="560" w:firstLineChars="200"/>
        <w:jc w:val="left"/>
        <w:rPr>
          <w:rFonts w:hint="eastAsia" w:ascii="仿宋" w:hAnsi="仿宋" w:eastAsia="仿宋" w:cs="仿宋"/>
          <w:bCs/>
          <w:sz w:val="28"/>
          <w:szCs w:val="28"/>
        </w:rPr>
      </w:pPr>
      <w:r>
        <w:rPr>
          <w:rFonts w:hint="eastAsia" w:ascii="仿宋" w:hAnsi="仿宋" w:eastAsia="仿宋" w:cs="仿宋"/>
          <w:sz w:val="28"/>
          <w:szCs w:val="28"/>
        </w:rPr>
        <w:t>收入总表反映本部门当年全部收入。</w:t>
      </w:r>
      <w:r>
        <w:rPr>
          <w:rFonts w:hint="eastAsia" w:ascii="仿宋" w:hAnsi="仿宋" w:eastAsia="仿宋" w:cs="仿宋"/>
          <w:bCs/>
          <w:sz w:val="28"/>
          <w:szCs w:val="28"/>
        </w:rPr>
        <w:t>2019年预算收入1259.61万元。其中，一般公共预算收入1259.61万元、政府性基金收入0万元、国有资本经营预算收入0万元、财政专户核拨收入0万元，其他来源收入0万元。</w:t>
      </w:r>
    </w:p>
    <w:p>
      <w:pPr>
        <w:numPr>
          <w:ilvl w:val="0"/>
          <w:numId w:val="1"/>
        </w:numPr>
        <w:adjustRightInd w:val="0"/>
        <w:snapToGrid w:val="0"/>
        <w:spacing w:line="600" w:lineRule="exact"/>
        <w:ind w:firstLine="555"/>
        <w:jc w:val="left"/>
        <w:rPr>
          <w:rFonts w:hint="eastAsia" w:ascii="仿宋" w:hAnsi="仿宋" w:eastAsia="仿宋" w:cs="仿宋_GB2312"/>
          <w:bCs/>
          <w:sz w:val="28"/>
          <w:szCs w:val="28"/>
        </w:rPr>
      </w:pPr>
      <w:r>
        <w:rPr>
          <w:rFonts w:hint="eastAsia" w:ascii="仿宋" w:hAnsi="仿宋" w:eastAsia="仿宋" w:cs="仿宋_GB2312"/>
          <w:bCs/>
          <w:sz w:val="28"/>
          <w:szCs w:val="28"/>
        </w:rPr>
        <w:t>支出说明</w:t>
      </w:r>
    </w:p>
    <w:p>
      <w:pPr>
        <w:adjustRightInd w:val="0"/>
        <w:snapToGrid w:val="0"/>
        <w:spacing w:line="600" w:lineRule="exact"/>
        <w:ind w:firstLine="564" w:firstLineChars="200"/>
        <w:jc w:val="left"/>
        <w:rPr>
          <w:rFonts w:hint="eastAsia" w:ascii="仿宋" w:hAnsi="仿宋" w:eastAsia="仿宋" w:cs="仿宋_GB2312"/>
          <w:bCs/>
          <w:sz w:val="28"/>
          <w:szCs w:val="28"/>
        </w:rPr>
      </w:pPr>
      <w:r>
        <w:rPr>
          <w:rFonts w:hint="eastAsia" w:ascii="仿宋" w:hAnsi="仿宋" w:eastAsia="仿宋" w:cs="仿宋"/>
          <w:spacing w:val="1"/>
          <w:sz w:val="28"/>
          <w:szCs w:val="28"/>
        </w:rPr>
        <w:t>支出总表反映本</w:t>
      </w:r>
      <w:r>
        <w:rPr>
          <w:rFonts w:hint="eastAsia" w:ascii="仿宋" w:hAnsi="仿宋" w:eastAsia="仿宋" w:cs="仿宋"/>
          <w:sz w:val="28"/>
          <w:szCs w:val="28"/>
        </w:rPr>
        <w:t>部门预算中支出预算的总体情况。</w:t>
      </w:r>
      <w:r>
        <w:rPr>
          <w:rFonts w:hint="eastAsia" w:ascii="仿宋" w:hAnsi="仿宋" w:eastAsia="仿宋" w:cs="仿宋"/>
          <w:bCs/>
          <w:sz w:val="28"/>
          <w:szCs w:val="28"/>
        </w:rPr>
        <w:t>2019年支出预算1259.61万元，其中基本支出1139.61万元，包括人员经费1027.61万元，正常公用经费112万元；项目支出120万元，其中本级支出120万元，对下补助支出0万元。</w:t>
      </w:r>
    </w:p>
    <w:p>
      <w:pPr>
        <w:numPr>
          <w:ilvl w:val="0"/>
          <w:numId w:val="2"/>
        </w:numPr>
        <w:adjustRightInd w:val="0"/>
        <w:snapToGrid w:val="0"/>
        <w:spacing w:line="600" w:lineRule="exact"/>
        <w:ind w:firstLine="555"/>
        <w:jc w:val="left"/>
        <w:rPr>
          <w:rFonts w:hint="eastAsia" w:ascii="仿宋" w:hAnsi="仿宋" w:eastAsia="仿宋" w:cs="仿宋_GB2312"/>
          <w:bCs/>
          <w:sz w:val="28"/>
          <w:szCs w:val="28"/>
        </w:rPr>
      </w:pPr>
      <w:r>
        <w:rPr>
          <w:rFonts w:hint="eastAsia" w:ascii="仿宋" w:hAnsi="仿宋" w:eastAsia="仿宋" w:cs="仿宋_GB2312"/>
          <w:bCs/>
          <w:sz w:val="28"/>
          <w:szCs w:val="28"/>
        </w:rPr>
        <w:t>预算收支增减变化说明</w:t>
      </w:r>
    </w:p>
    <w:p>
      <w:pPr>
        <w:adjustRightInd w:val="0"/>
        <w:snapToGrid w:val="0"/>
        <w:spacing w:line="60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2019年预算收支安排</w:t>
      </w:r>
      <w:r>
        <w:rPr>
          <w:rFonts w:hint="eastAsia" w:ascii="仿宋" w:hAnsi="仿宋" w:eastAsia="仿宋" w:cs="仿宋"/>
          <w:bCs/>
          <w:sz w:val="28"/>
          <w:szCs w:val="28"/>
        </w:rPr>
        <w:t>1259.61</w:t>
      </w:r>
      <w:r>
        <w:rPr>
          <w:rFonts w:hint="eastAsia" w:ascii="仿宋" w:hAnsi="仿宋" w:eastAsia="仿宋" w:cs="仿宋_GB2312"/>
          <w:bCs/>
          <w:sz w:val="28"/>
          <w:szCs w:val="28"/>
        </w:rPr>
        <w:t>万元，较2018年预算增加172.39万元，增幅15.86%，其中基本支出增加192.39万元，</w:t>
      </w:r>
      <w:r>
        <w:rPr>
          <w:rFonts w:hint="eastAsia" w:ascii="仿宋" w:hAnsi="仿宋" w:eastAsia="仿宋" w:cs="仿宋_GB2312"/>
          <w:bCs/>
          <w:sz w:val="28"/>
          <w:szCs w:val="28"/>
          <w:lang w:eastAsia="zh-CN"/>
        </w:rPr>
        <w:t>增</w:t>
      </w:r>
      <w:r>
        <w:rPr>
          <w:rFonts w:hint="eastAsia" w:ascii="仿宋" w:hAnsi="仿宋" w:eastAsia="仿宋" w:cs="仿宋_GB2312"/>
          <w:bCs/>
          <w:sz w:val="28"/>
          <w:szCs w:val="28"/>
        </w:rPr>
        <w:t>幅20.31%，</w:t>
      </w:r>
      <w:r>
        <w:rPr>
          <w:rFonts w:hint="eastAsia" w:ascii="仿宋" w:hAnsi="仿宋" w:eastAsia="仿宋" w:cs="仿宋_GB2312"/>
          <w:bCs/>
          <w:color w:val="auto"/>
          <w:sz w:val="28"/>
          <w:szCs w:val="28"/>
        </w:rPr>
        <w:t>主要为人员增加及在职人员调资；项</w:t>
      </w:r>
      <w:r>
        <w:rPr>
          <w:rFonts w:hint="eastAsia" w:ascii="仿宋" w:hAnsi="仿宋" w:eastAsia="仿宋" w:cs="仿宋_GB2312"/>
          <w:bCs/>
          <w:sz w:val="28"/>
          <w:szCs w:val="28"/>
        </w:rPr>
        <w:t>目支出减少20万元，减幅14.29%</w:t>
      </w:r>
      <w:r>
        <w:rPr>
          <w:rFonts w:hint="eastAsia" w:ascii="仿宋" w:hAnsi="仿宋" w:eastAsia="仿宋" w:cs="仿宋_GB2312"/>
          <w:bCs/>
          <w:color w:val="auto"/>
          <w:sz w:val="28"/>
          <w:szCs w:val="28"/>
        </w:rPr>
        <w:t>，因减少了</w:t>
      </w:r>
      <w:r>
        <w:rPr>
          <w:rFonts w:hint="eastAsia" w:ascii="仿宋" w:hAnsi="仿宋" w:eastAsia="仿宋" w:cs="仿宋_GB2312"/>
          <w:bCs/>
          <w:color w:val="auto"/>
          <w:sz w:val="28"/>
          <w:szCs w:val="28"/>
          <w:lang w:eastAsia="zh-CN"/>
        </w:rPr>
        <w:t>设备购置</w:t>
      </w:r>
      <w:r>
        <w:rPr>
          <w:rFonts w:hint="eastAsia" w:ascii="仿宋" w:hAnsi="仿宋" w:eastAsia="仿宋" w:cs="仿宋_GB2312"/>
          <w:bCs/>
          <w:color w:val="auto"/>
          <w:sz w:val="28"/>
          <w:szCs w:val="28"/>
        </w:rPr>
        <w:t>。</w:t>
      </w:r>
    </w:p>
    <w:p>
      <w:pPr>
        <w:numPr>
          <w:ilvl w:val="0"/>
          <w:numId w:val="3"/>
        </w:numPr>
        <w:ind w:left="640"/>
        <w:rPr>
          <w:rFonts w:hint="eastAsia" w:ascii="黑体" w:hAnsi="黑体" w:eastAsia="黑体" w:cs="黑体"/>
          <w:sz w:val="32"/>
          <w:szCs w:val="32"/>
        </w:rPr>
      </w:pPr>
      <w:r>
        <w:rPr>
          <w:rFonts w:hint="eastAsia" w:ascii="黑体" w:hAnsi="黑体" w:eastAsia="黑体" w:cs="黑体"/>
          <w:sz w:val="32"/>
          <w:szCs w:val="32"/>
        </w:rPr>
        <w:t>机关运行经费安排情况</w:t>
      </w:r>
    </w:p>
    <w:p>
      <w:pPr>
        <w:adjustRightInd w:val="0"/>
        <w:snapToGrid w:val="0"/>
        <w:spacing w:line="600" w:lineRule="exact"/>
        <w:ind w:firstLine="560" w:firstLineChars="200"/>
        <w:jc w:val="left"/>
        <w:rPr>
          <w:rFonts w:hint="eastAsia" w:ascii="黑体" w:hAnsi="黑体" w:eastAsia="仿宋" w:cs="黑体"/>
          <w:b/>
          <w:bCs/>
          <w:sz w:val="32"/>
          <w:szCs w:val="32"/>
          <w:lang w:eastAsia="zh-CN"/>
        </w:rPr>
      </w:pPr>
      <w:r>
        <w:rPr>
          <w:rFonts w:hint="eastAsia" w:ascii="仿宋" w:hAnsi="仿宋" w:eastAsia="仿宋" w:cs="仿宋"/>
          <w:bCs/>
          <w:sz w:val="28"/>
          <w:szCs w:val="28"/>
          <w:lang w:val="en-US" w:eastAsia="zh-CN"/>
        </w:rPr>
        <w:t>2019年我部门机关运行经费</w:t>
      </w:r>
      <w:r>
        <w:rPr>
          <w:rFonts w:hint="eastAsia" w:ascii="仿宋" w:hAnsi="仿宋" w:eastAsia="仿宋" w:cs="仿宋"/>
          <w:sz w:val="28"/>
          <w:szCs w:val="28"/>
        </w:rPr>
        <w:t>共计安排</w:t>
      </w:r>
      <w:r>
        <w:rPr>
          <w:rFonts w:hint="eastAsia" w:ascii="仿宋" w:hAnsi="仿宋" w:eastAsia="仿宋" w:cs="仿宋"/>
          <w:bCs/>
          <w:sz w:val="28"/>
          <w:szCs w:val="28"/>
          <w:lang w:val="en-US" w:eastAsia="zh-CN"/>
        </w:rPr>
        <w:t>112</w:t>
      </w:r>
      <w:r>
        <w:rPr>
          <w:rFonts w:hint="eastAsia" w:ascii="仿宋" w:hAnsi="仿宋" w:eastAsia="仿宋" w:cs="仿宋"/>
          <w:bCs/>
          <w:sz w:val="28"/>
          <w:szCs w:val="28"/>
        </w:rPr>
        <w:t>万元，主要用于办公区及教学区的</w:t>
      </w:r>
      <w:r>
        <w:rPr>
          <w:rFonts w:hint="eastAsia" w:ascii="仿宋" w:hAnsi="仿宋" w:eastAsia="仿宋" w:cs="仿宋"/>
          <w:color w:val="000000"/>
          <w:sz w:val="28"/>
          <w:szCs w:val="28"/>
          <w:lang w:eastAsia="zh-CN"/>
        </w:rPr>
        <w:t>取暖费、维修（护）费、培训费、工会经费、福利费、公务用车运行维护费和其他商品和服务支出</w:t>
      </w:r>
      <w:r>
        <w:rPr>
          <w:rFonts w:hint="eastAsia" w:ascii="仿宋" w:hAnsi="仿宋" w:eastAsia="仿宋" w:cs="仿宋"/>
          <w:color w:val="000000"/>
          <w:sz w:val="28"/>
          <w:szCs w:val="28"/>
        </w:rPr>
        <w:t>等日常运行支出。</w:t>
      </w:r>
      <w:r>
        <w:rPr>
          <w:rFonts w:hint="eastAsia" w:ascii="仿宋" w:hAnsi="仿宋" w:eastAsia="仿宋" w:cs="仿宋"/>
          <w:bCs/>
          <w:color w:val="000000"/>
          <w:sz w:val="28"/>
          <w:szCs w:val="28"/>
        </w:rPr>
        <w:t>与2018年</w:t>
      </w:r>
      <w:r>
        <w:rPr>
          <w:rFonts w:hint="eastAsia" w:ascii="仿宋" w:hAnsi="仿宋" w:eastAsia="仿宋" w:cs="仿宋"/>
          <w:bCs/>
          <w:color w:val="000000"/>
          <w:sz w:val="28"/>
          <w:szCs w:val="28"/>
          <w:lang w:val="en-US" w:eastAsia="zh-CN"/>
        </w:rPr>
        <w:t>110.1</w:t>
      </w:r>
      <w:r>
        <w:rPr>
          <w:rFonts w:hint="eastAsia" w:ascii="仿宋" w:hAnsi="仿宋" w:eastAsia="仿宋" w:cs="仿宋"/>
          <w:bCs/>
          <w:color w:val="000000"/>
          <w:sz w:val="28"/>
          <w:szCs w:val="28"/>
        </w:rPr>
        <w:t>万元相比</w:t>
      </w:r>
      <w:r>
        <w:rPr>
          <w:rFonts w:hint="eastAsia" w:ascii="仿宋" w:hAnsi="仿宋" w:eastAsia="仿宋" w:cs="仿宋"/>
          <w:bCs/>
          <w:color w:val="000000"/>
          <w:sz w:val="28"/>
          <w:szCs w:val="28"/>
          <w:lang w:eastAsia="zh-CN"/>
        </w:rPr>
        <w:t>增加</w:t>
      </w:r>
      <w:r>
        <w:rPr>
          <w:rFonts w:hint="eastAsia" w:ascii="仿宋" w:hAnsi="仿宋" w:eastAsia="仿宋" w:cs="仿宋"/>
          <w:bCs/>
          <w:color w:val="000000"/>
          <w:sz w:val="28"/>
          <w:szCs w:val="28"/>
          <w:lang w:val="en-US" w:eastAsia="zh-CN"/>
        </w:rPr>
        <w:t>1.9</w:t>
      </w:r>
      <w:r>
        <w:rPr>
          <w:rFonts w:hint="eastAsia" w:ascii="仿宋" w:hAnsi="仿宋" w:eastAsia="仿宋" w:cs="仿宋"/>
          <w:bCs/>
          <w:color w:val="000000"/>
          <w:sz w:val="28"/>
          <w:szCs w:val="28"/>
        </w:rPr>
        <w:t>万元，</w:t>
      </w:r>
      <w:r>
        <w:rPr>
          <w:rFonts w:hint="eastAsia" w:ascii="仿宋" w:hAnsi="仿宋" w:eastAsia="仿宋" w:cs="仿宋"/>
          <w:bCs/>
          <w:color w:val="000000"/>
          <w:sz w:val="28"/>
          <w:szCs w:val="28"/>
          <w:lang w:eastAsia="zh-CN"/>
        </w:rPr>
        <w:t>因物价上涨。</w:t>
      </w:r>
    </w:p>
    <w:p>
      <w:pPr>
        <w:pStyle w:val="14"/>
        <w:numPr>
          <w:ilvl w:val="0"/>
          <w:numId w:val="3"/>
        </w:numPr>
        <w:spacing w:before="274" w:after="0" w:line="329" w:lineRule="exact"/>
        <w:ind w:left="640"/>
        <w:jc w:val="left"/>
        <w:rPr>
          <w:rFonts w:hint="eastAsia" w:ascii="黑体" w:hAnsi="黑体" w:eastAsia="黑体" w:cs="黑体"/>
          <w:color w:val="000000"/>
          <w:sz w:val="32"/>
          <w:szCs w:val="32"/>
          <w:lang w:eastAsia="zh-CN"/>
        </w:rPr>
      </w:pPr>
      <w:r>
        <w:rPr>
          <w:rFonts w:hint="eastAsia" w:ascii="黑体" w:hAnsi="黑体" w:eastAsia="黑体" w:cs="黑体"/>
          <w:sz w:val="32"/>
          <w:szCs w:val="32"/>
          <w:lang w:eastAsia="zh-CN"/>
        </w:rPr>
        <w:t>财政拨款“三公”经费预算情况</w:t>
      </w:r>
      <w:r>
        <w:rPr>
          <w:rFonts w:hint="eastAsia" w:ascii="黑体" w:hAnsi="黑体" w:eastAsia="黑体" w:cs="黑体"/>
          <w:color w:val="000000"/>
          <w:sz w:val="32"/>
          <w:szCs w:val="32"/>
          <w:lang w:eastAsia="zh-CN"/>
        </w:rPr>
        <w:t>及增减变化原因</w:t>
      </w:r>
    </w:p>
    <w:p>
      <w:pPr>
        <w:adjustRightInd w:val="0"/>
        <w:snapToGrid w:val="0"/>
        <w:spacing w:line="600" w:lineRule="exact"/>
        <w:ind w:firstLine="560" w:firstLineChars="200"/>
        <w:jc w:val="left"/>
        <w:rPr>
          <w:rFonts w:hint="eastAsia" w:ascii="仿宋" w:hAnsi="仿宋" w:eastAsia="仿宋" w:cs="仿宋"/>
          <w:bCs/>
          <w:color w:val="000000"/>
          <w:sz w:val="28"/>
          <w:szCs w:val="28"/>
        </w:rPr>
      </w:pPr>
      <w:r>
        <w:rPr>
          <w:rFonts w:hint="eastAsia" w:ascii="仿宋" w:hAnsi="仿宋" w:eastAsia="仿宋" w:cs="仿宋"/>
          <w:bCs/>
          <w:color w:val="000000"/>
          <w:sz w:val="28"/>
          <w:szCs w:val="28"/>
        </w:rPr>
        <w:t>2019年本部门</w:t>
      </w:r>
      <w:r>
        <w:rPr>
          <w:rFonts w:hint="eastAsia" w:ascii="仿宋" w:hAnsi="仿宋" w:eastAsia="仿宋" w:cs="仿宋"/>
          <w:color w:val="000000"/>
          <w:sz w:val="28"/>
          <w:szCs w:val="28"/>
        </w:rPr>
        <w:t>财政拨款</w:t>
      </w:r>
      <w:r>
        <w:rPr>
          <w:rFonts w:hint="eastAsia" w:ascii="仿宋" w:hAnsi="仿宋" w:eastAsia="仿宋" w:cs="仿宋"/>
          <w:color w:val="000000"/>
          <w:spacing w:val="2"/>
          <w:sz w:val="28"/>
          <w:szCs w:val="28"/>
        </w:rPr>
        <w:t>“</w:t>
      </w:r>
      <w:r>
        <w:rPr>
          <w:rFonts w:hint="eastAsia" w:ascii="仿宋" w:hAnsi="仿宋" w:eastAsia="仿宋" w:cs="仿宋"/>
          <w:color w:val="000000"/>
          <w:spacing w:val="1"/>
          <w:sz w:val="28"/>
          <w:szCs w:val="28"/>
        </w:rPr>
        <w:t>三公</w:t>
      </w:r>
      <w:r>
        <w:rPr>
          <w:rFonts w:hint="eastAsia" w:ascii="仿宋" w:hAnsi="仿宋" w:eastAsia="仿宋" w:cs="仿宋"/>
          <w:color w:val="000000"/>
          <w:spacing w:val="-3"/>
          <w:sz w:val="28"/>
          <w:szCs w:val="28"/>
        </w:rPr>
        <w:t>”</w:t>
      </w:r>
      <w:r>
        <w:rPr>
          <w:rFonts w:hint="eastAsia" w:ascii="仿宋" w:hAnsi="仿宋" w:eastAsia="仿宋" w:cs="仿宋"/>
          <w:color w:val="000000"/>
          <w:sz w:val="28"/>
          <w:szCs w:val="28"/>
        </w:rPr>
        <w:t>经费预算安排</w:t>
      </w:r>
      <w:r>
        <w:rPr>
          <w:rFonts w:hint="eastAsia" w:ascii="仿宋" w:hAnsi="仿宋" w:eastAsia="仿宋" w:cs="仿宋"/>
          <w:bCs/>
          <w:color w:val="000000"/>
          <w:sz w:val="28"/>
          <w:szCs w:val="28"/>
        </w:rPr>
        <w:t>5.6万元，与上年预决算相比无变化。其中，因公出国（境）费0万元，与上年相比无变化；公务用车购置及运行维护费5.6万元(其中公务用车购置0万元，公务用车运行维护费5.6万元），与上年相比无变化；公务接待费0万元，与上年相比无变化。</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五、绩效预算信息</w:t>
      </w:r>
    </w:p>
    <w:p>
      <w:pPr>
        <w:autoSpaceDE w:val="0"/>
        <w:autoSpaceDN w:val="0"/>
        <w:adjustRightInd w:val="0"/>
        <w:ind w:left="640"/>
        <w:jc w:val="left"/>
        <w:rPr>
          <w:rFonts w:hint="eastAsia" w:ascii="仿宋" w:hAnsi="仿宋" w:eastAsia="仿宋"/>
          <w:sz w:val="30"/>
          <w:szCs w:val="30"/>
        </w:rPr>
      </w:pPr>
      <w:r>
        <w:rPr>
          <w:rFonts w:hint="eastAsia" w:ascii="仿宋" w:hAnsi="仿宋" w:eastAsia="仿宋" w:cs="仿宋"/>
          <w:b/>
          <w:bCs/>
          <w:sz w:val="30"/>
          <w:szCs w:val="30"/>
        </w:rPr>
        <w:t>总体绩效目标：</w:t>
      </w:r>
    </w:p>
    <w:p>
      <w:pPr>
        <w:ind w:firstLine="560" w:firstLineChars="200"/>
        <w:jc w:val="left"/>
        <w:rPr>
          <w:rFonts w:ascii="仿宋" w:hAnsi="仿宋" w:eastAsia="仿宋" w:cs="仿宋"/>
          <w:sz w:val="28"/>
          <w:szCs w:val="28"/>
        </w:rPr>
      </w:pPr>
      <w:r>
        <w:rPr>
          <w:rFonts w:hint="eastAsia" w:ascii="仿宋" w:hAnsi="仿宋" w:eastAsia="仿宋" w:cs="仿宋"/>
          <w:sz w:val="28"/>
          <w:szCs w:val="28"/>
        </w:rPr>
        <w:t>密切关注和吸收全社会教育总体改革的动态和信息，以国家教委颁布的《幼儿园管理条例》和《幼儿园工作规程》为依据，结合我园实际，健全完善各项规章制度和岗位责任制，教学上改革创新，努力办出特色，丰富幼儿生活，进一步提高保教质量，充实更新设备，使我园各项工作再上台阶。</w:t>
      </w:r>
    </w:p>
    <w:p>
      <w:pPr>
        <w:ind w:firstLine="560" w:firstLineChars="200"/>
        <w:rPr>
          <w:rFonts w:ascii="仿宋" w:hAnsi="仿宋" w:eastAsia="仿宋" w:cs="仿宋"/>
          <w:sz w:val="28"/>
          <w:szCs w:val="28"/>
        </w:rPr>
      </w:pPr>
      <w:r>
        <w:rPr>
          <w:rFonts w:hint="eastAsia" w:ascii="仿宋" w:hAnsi="仿宋" w:eastAsia="仿宋" w:cs="仿宋"/>
          <w:sz w:val="28"/>
          <w:szCs w:val="28"/>
        </w:rPr>
        <w:t>（一）在教职工队伍建设方面，搞好学习教育，提高教职员工的政治思想和业务素质。</w:t>
      </w:r>
    </w:p>
    <w:p>
      <w:pPr>
        <w:numPr>
          <w:ilvl w:val="0"/>
          <w:numId w:val="4"/>
        </w:numPr>
        <w:rPr>
          <w:rFonts w:ascii="仿宋" w:hAnsi="仿宋" w:eastAsia="仿宋" w:cs="仿宋"/>
          <w:sz w:val="28"/>
          <w:szCs w:val="28"/>
        </w:rPr>
      </w:pPr>
      <w:r>
        <w:rPr>
          <w:rFonts w:hint="eastAsia" w:ascii="仿宋" w:hAnsi="仿宋" w:eastAsia="仿宋" w:cs="仿宋"/>
          <w:sz w:val="28"/>
          <w:szCs w:val="28"/>
        </w:rPr>
        <w:t>在日常保教工作方面，继续丰富幼儿一日活动的教育内容，增强幼儿体质。</w:t>
      </w:r>
    </w:p>
    <w:p>
      <w:pPr>
        <w:numPr>
          <w:ilvl w:val="0"/>
          <w:numId w:val="4"/>
        </w:numPr>
        <w:ind w:left="1445" w:leftChars="0" w:hanging="885" w:firstLineChars="0"/>
        <w:rPr>
          <w:rFonts w:hint="eastAsia" w:ascii="仿宋" w:hAnsi="仿宋" w:eastAsia="仿宋" w:cs="仿宋"/>
          <w:sz w:val="28"/>
          <w:szCs w:val="28"/>
        </w:rPr>
      </w:pPr>
      <w:r>
        <w:rPr>
          <w:rFonts w:hint="eastAsia" w:ascii="仿宋" w:hAnsi="仿宋" w:eastAsia="仿宋" w:cs="仿宋"/>
          <w:sz w:val="28"/>
          <w:szCs w:val="28"/>
        </w:rPr>
        <w:t>在行政后勤保障方面，改善办园条件，对园内设施设备进行更新改造。合理搭配主副食，提高幼儿营养膳食水平。</w:t>
      </w:r>
    </w:p>
    <w:p>
      <w:pPr>
        <w:ind w:firstLine="602" w:firstLineChars="200"/>
        <w:jc w:val="left"/>
        <w:rPr>
          <w:rFonts w:hint="eastAsia" w:ascii="仿宋" w:hAnsi="仿宋" w:eastAsia="仿宋" w:cs="仿宋"/>
          <w:sz w:val="28"/>
          <w:szCs w:val="28"/>
        </w:rPr>
      </w:pPr>
      <w:r>
        <w:rPr>
          <w:rFonts w:hint="eastAsia" w:ascii="仿宋" w:hAnsi="仿宋" w:eastAsia="仿宋" w:cs="仿宋"/>
          <w:b/>
          <w:sz w:val="30"/>
          <w:szCs w:val="30"/>
        </w:rPr>
        <w:t>职责分类绩效目标：</w:t>
      </w:r>
    </w:p>
    <w:p>
      <w:pPr>
        <w:ind w:firstLine="560" w:firstLineChars="200"/>
        <w:jc w:val="left"/>
        <w:rPr>
          <w:rFonts w:ascii="仿宋" w:hAnsi="仿宋" w:eastAsia="仿宋" w:cs="仿宋"/>
          <w:sz w:val="28"/>
          <w:szCs w:val="28"/>
        </w:rPr>
      </w:pPr>
      <w:r>
        <w:rPr>
          <w:rFonts w:hint="eastAsia" w:ascii="仿宋" w:hAnsi="仿宋" w:eastAsia="仿宋" w:cs="仿宋"/>
          <w:sz w:val="28"/>
          <w:szCs w:val="28"/>
        </w:rPr>
        <w:t>2019年我部门在保育工作中，要继续坚持“一切为了孩子”的原则，做好孩子的保育和教育工作，为家长服务。在教育工作中要继续全面促进孩子发展，让家长满意。</w:t>
      </w:r>
    </w:p>
    <w:p>
      <w:pPr>
        <w:numPr>
          <w:ilvl w:val="0"/>
          <w:numId w:val="5"/>
        </w:numPr>
        <w:rPr>
          <w:rFonts w:ascii="仿宋" w:hAnsi="仿宋" w:eastAsia="仿宋" w:cs="仿宋"/>
          <w:sz w:val="28"/>
          <w:szCs w:val="28"/>
        </w:rPr>
      </w:pPr>
      <w:r>
        <w:rPr>
          <w:rFonts w:hint="eastAsia" w:ascii="仿宋" w:hAnsi="仿宋" w:eastAsia="仿宋" w:cs="仿宋"/>
          <w:sz w:val="28"/>
          <w:szCs w:val="28"/>
        </w:rPr>
        <w:t>努力扩大省级示范园的知名度，让家长满意。</w:t>
      </w:r>
    </w:p>
    <w:p>
      <w:pPr>
        <w:numPr>
          <w:ilvl w:val="0"/>
          <w:numId w:val="5"/>
        </w:numPr>
        <w:rPr>
          <w:rFonts w:ascii="仿宋" w:hAnsi="仿宋" w:eastAsia="仿宋" w:cs="仿宋"/>
          <w:sz w:val="28"/>
          <w:szCs w:val="28"/>
        </w:rPr>
      </w:pPr>
      <w:r>
        <w:rPr>
          <w:rFonts w:hint="eastAsia" w:ascii="仿宋" w:hAnsi="仿宋" w:eastAsia="仿宋" w:cs="仿宋"/>
          <w:sz w:val="28"/>
          <w:szCs w:val="28"/>
        </w:rPr>
        <w:t>落实好上级党委部署的各项学习教育工作，加强党员的党性修养。</w:t>
      </w:r>
    </w:p>
    <w:p>
      <w:pPr>
        <w:ind w:left="141" w:leftChars="67" w:firstLine="420" w:firstLineChars="150"/>
        <w:rPr>
          <w:rFonts w:hint="eastAsia" w:ascii="宋体" w:hAnsi="宋体"/>
          <w:b/>
          <w:sz w:val="32"/>
          <w:szCs w:val="32"/>
        </w:rPr>
      </w:pPr>
      <w:r>
        <w:rPr>
          <w:rFonts w:hint="eastAsia" w:ascii="仿宋" w:hAnsi="仿宋" w:eastAsia="仿宋" w:cs="仿宋"/>
          <w:sz w:val="28"/>
          <w:szCs w:val="28"/>
        </w:rPr>
        <w:t>（三）搞好绿化美化，根据季节的变化以及重大节日，如元旦，六一儿童节，教师节，国庆节等调整布置室内环境，创造适合幼儿特点具有教育意义的室内外环境。</w:t>
      </w:r>
    </w:p>
    <w:p>
      <w:pPr>
        <w:rPr>
          <w:rFonts w:hint="eastAsia" w:ascii="仿宋" w:hAnsi="仿宋" w:eastAsia="仿宋" w:cs="仿宋"/>
          <w:b/>
          <w:bCs/>
          <w:sz w:val="28"/>
          <w:szCs w:val="28"/>
        </w:rPr>
      </w:pPr>
      <w:r>
        <w:rPr>
          <w:rFonts w:hint="eastAsia" w:ascii="仿宋" w:hAnsi="仿宋" w:eastAsia="仿宋" w:cs="仿宋"/>
          <w:b/>
          <w:bCs/>
          <w:sz w:val="28"/>
          <w:szCs w:val="28"/>
        </w:rPr>
        <w:t>部门职责与工作活动绩效目标指标：</w:t>
      </w:r>
    </w:p>
    <w:p>
      <w:pPr>
        <w:jc w:val="center"/>
        <w:outlineLvl w:val="0"/>
        <w:rPr>
          <w:rFonts w:ascii="黑体" w:hAnsi="黑体" w:eastAsia="黑体"/>
          <w:sz w:val="10"/>
          <w:szCs w:val="10"/>
        </w:rPr>
      </w:pPr>
      <w:bookmarkStart w:id="0" w:name="_Toc439174153"/>
      <w:r>
        <w:rPr>
          <w:rFonts w:hint="eastAsia" w:ascii="仿宋" w:hAnsi="仿宋" w:eastAsia="仿宋" w:cs="仿宋"/>
          <w:sz w:val="28"/>
          <w:szCs w:val="28"/>
        </w:rPr>
        <w:t>部门职责-工作活动绩效目标</w:t>
      </w:r>
      <w:bookmarkEnd w:id="0"/>
    </w:p>
    <w:tbl>
      <w:tblPr>
        <w:tblStyle w:val="8"/>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696"/>
        <w:gridCol w:w="3405"/>
        <w:gridCol w:w="3045"/>
        <w:gridCol w:w="1499"/>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color w:val="auto"/>
                <w:sz w:val="24"/>
                <w:lang w:val="en-US" w:eastAsia="zh-CN"/>
              </w:rPr>
            </w:pPr>
            <w:r>
              <w:rPr>
                <w:rFonts w:ascii="方正小标宋_GBK" w:eastAsia="方正小标宋_GBK"/>
                <w:color w:val="auto"/>
                <w:sz w:val="24"/>
              </w:rPr>
              <w:t>519</w:t>
            </w:r>
            <w:r>
              <w:rPr>
                <w:rFonts w:hint="eastAsia" w:ascii="方正小标宋_GBK" w:eastAsia="方正小标宋_GBK"/>
                <w:color w:val="auto"/>
                <w:sz w:val="24"/>
              </w:rPr>
              <w:t>石家庄市直机关第一幼儿园</w:t>
            </w:r>
            <w:r>
              <w:rPr>
                <w:rFonts w:hint="eastAsia" w:ascii="方正小标宋_GBK" w:eastAsia="方正小标宋_GBK"/>
                <w:color w:val="auto"/>
                <w:sz w:val="24"/>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职责活动</w:t>
            </w:r>
          </w:p>
        </w:tc>
        <w:tc>
          <w:tcPr>
            <w:tcW w:w="696"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年度预算数</w:t>
            </w:r>
          </w:p>
        </w:tc>
        <w:tc>
          <w:tcPr>
            <w:tcW w:w="3405"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内容描述</w:t>
            </w:r>
          </w:p>
        </w:tc>
        <w:tc>
          <w:tcPr>
            <w:tcW w:w="3045"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1499"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w:t>
            </w:r>
          </w:p>
        </w:tc>
        <w:tc>
          <w:tcPr>
            <w:tcW w:w="2948" w:type="dxa"/>
            <w:gridSpan w:val="4"/>
            <w:vAlign w:val="center"/>
          </w:tcPr>
          <w:p>
            <w:pPr>
              <w:spacing w:line="300" w:lineRule="exact"/>
              <w:jc w:val="center"/>
              <w:rPr>
                <w:rFonts w:ascii="方正书宋_GBK" w:eastAsia="方正书宋_GBK"/>
                <w:b/>
                <w:color w:val="auto"/>
              </w:rPr>
            </w:pPr>
            <w:r>
              <w:rPr>
                <w:rFonts w:hint="eastAsia" w:ascii="方正书宋_GBK" w:eastAsia="方正书宋_GBK"/>
                <w:b/>
                <w:color w:val="auto"/>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color w:val="auto"/>
              </w:rPr>
            </w:pPr>
          </w:p>
        </w:tc>
        <w:tc>
          <w:tcPr>
            <w:tcW w:w="696" w:type="dxa"/>
            <w:vMerge w:val="continue"/>
            <w:vAlign w:val="center"/>
          </w:tcPr>
          <w:p>
            <w:pPr>
              <w:spacing w:line="300" w:lineRule="exact"/>
              <w:jc w:val="left"/>
              <w:outlineLvl w:val="0"/>
              <w:rPr>
                <w:color w:val="auto"/>
              </w:rPr>
            </w:pPr>
          </w:p>
        </w:tc>
        <w:tc>
          <w:tcPr>
            <w:tcW w:w="3405" w:type="dxa"/>
            <w:vMerge w:val="continue"/>
            <w:vAlign w:val="center"/>
          </w:tcPr>
          <w:p>
            <w:pPr>
              <w:spacing w:line="300" w:lineRule="exact"/>
              <w:jc w:val="left"/>
              <w:outlineLvl w:val="0"/>
              <w:rPr>
                <w:color w:val="auto"/>
              </w:rPr>
            </w:pPr>
          </w:p>
        </w:tc>
        <w:tc>
          <w:tcPr>
            <w:tcW w:w="3045" w:type="dxa"/>
            <w:vMerge w:val="continue"/>
            <w:vAlign w:val="center"/>
          </w:tcPr>
          <w:p>
            <w:pPr>
              <w:spacing w:line="300" w:lineRule="exact"/>
              <w:jc w:val="left"/>
              <w:outlineLvl w:val="0"/>
              <w:rPr>
                <w:color w:val="auto"/>
              </w:rPr>
            </w:pPr>
          </w:p>
        </w:tc>
        <w:tc>
          <w:tcPr>
            <w:tcW w:w="1499" w:type="dxa"/>
            <w:vMerge w:val="continue"/>
            <w:vAlign w:val="center"/>
          </w:tcPr>
          <w:p>
            <w:pPr>
              <w:spacing w:line="300" w:lineRule="exact"/>
              <w:jc w:val="left"/>
              <w:outlineLvl w:val="0"/>
              <w:rPr>
                <w:color w:val="auto"/>
              </w:rPr>
            </w:pPr>
          </w:p>
        </w:tc>
        <w:tc>
          <w:tcPr>
            <w:tcW w:w="737"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优</w:t>
            </w:r>
          </w:p>
        </w:tc>
        <w:tc>
          <w:tcPr>
            <w:tcW w:w="737"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良</w:t>
            </w:r>
          </w:p>
        </w:tc>
        <w:tc>
          <w:tcPr>
            <w:tcW w:w="737"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中</w:t>
            </w:r>
          </w:p>
        </w:tc>
        <w:tc>
          <w:tcPr>
            <w:tcW w:w="737"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color w:val="auto"/>
              </w:rPr>
            </w:pPr>
            <w:r>
              <w:rPr>
                <w:rFonts w:hint="eastAsia" w:ascii="方正书宋_GBK" w:eastAsia="方正书宋_GBK"/>
                <w:b/>
                <w:color w:val="auto"/>
                <w:lang w:eastAsia="zh-CN"/>
              </w:rPr>
              <w:t>一、</w:t>
            </w:r>
            <w:r>
              <w:rPr>
                <w:rFonts w:hint="eastAsia" w:ascii="方正书宋_GBK" w:eastAsia="方正书宋_GBK"/>
                <w:b/>
                <w:color w:val="auto"/>
              </w:rPr>
              <w:t>保育和教育服务</w:t>
            </w:r>
          </w:p>
        </w:tc>
        <w:tc>
          <w:tcPr>
            <w:tcW w:w="696" w:type="dxa"/>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10</w:t>
            </w:r>
          </w:p>
        </w:tc>
        <w:tc>
          <w:tcPr>
            <w:tcW w:w="3405" w:type="dxa"/>
            <w:vAlign w:val="center"/>
          </w:tcPr>
          <w:p>
            <w:pPr>
              <w:spacing w:line="300" w:lineRule="exact"/>
              <w:jc w:val="left"/>
              <w:rPr>
                <w:rFonts w:ascii="方正书宋_GBK" w:eastAsia="方正书宋_GBK"/>
                <w:color w:val="auto"/>
              </w:rPr>
            </w:pPr>
            <w:r>
              <w:rPr>
                <w:rFonts w:hint="eastAsia" w:ascii="方正书宋_GBK" w:eastAsia="方正书宋_GBK"/>
                <w:color w:val="auto"/>
              </w:rPr>
              <w:t>为学龄前儿童提供保育和教育服务。</w:t>
            </w:r>
          </w:p>
        </w:tc>
        <w:tc>
          <w:tcPr>
            <w:tcW w:w="3045" w:type="dxa"/>
            <w:vAlign w:val="center"/>
          </w:tcPr>
          <w:p>
            <w:pPr>
              <w:spacing w:line="300" w:lineRule="exact"/>
              <w:jc w:val="left"/>
              <w:rPr>
                <w:rFonts w:hint="eastAsia" w:ascii="方正书宋_GBK" w:eastAsia="方正书宋_GBK"/>
                <w:color w:val="auto"/>
                <w:lang w:eastAsia="zh-CN"/>
              </w:rPr>
            </w:pPr>
            <w:r>
              <w:rPr>
                <w:rFonts w:hint="eastAsia" w:ascii="方正书宋_GBK" w:eastAsia="方正书宋_GBK"/>
                <w:color w:val="auto"/>
                <w:lang w:eastAsia="zh-CN"/>
              </w:rPr>
              <w:t>为幼儿提供更好的保育和教育服务</w:t>
            </w:r>
          </w:p>
        </w:tc>
        <w:tc>
          <w:tcPr>
            <w:tcW w:w="1499" w:type="dxa"/>
            <w:vAlign w:val="center"/>
          </w:tcPr>
          <w:p>
            <w:pPr>
              <w:spacing w:line="300" w:lineRule="exact"/>
              <w:jc w:val="left"/>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color w:val="auto"/>
              </w:rPr>
            </w:pPr>
            <w:r>
              <w:rPr>
                <w:rFonts w:hint="eastAsia" w:ascii="方正书宋_GBK" w:eastAsia="方正书宋_GBK"/>
                <w:b/>
                <w:color w:val="auto"/>
              </w:rPr>
              <w:t>　　</w:t>
            </w:r>
            <w:r>
              <w:rPr>
                <w:rFonts w:hint="eastAsia" w:ascii="方正书宋_GBK" w:eastAsia="方正书宋_GBK"/>
                <w:b/>
                <w:color w:val="auto"/>
                <w:lang w:val="en-US" w:eastAsia="zh-CN"/>
              </w:rPr>
              <w:t>1、</w:t>
            </w:r>
            <w:r>
              <w:rPr>
                <w:rFonts w:hint="eastAsia" w:ascii="方正书宋_GBK" w:eastAsia="方正书宋_GBK"/>
                <w:b/>
                <w:color w:val="auto"/>
              </w:rPr>
              <w:t>提供保育服务</w:t>
            </w:r>
          </w:p>
        </w:tc>
        <w:tc>
          <w:tcPr>
            <w:tcW w:w="696" w:type="dxa"/>
            <w:vMerge w:val="restart"/>
            <w:vAlign w:val="center"/>
          </w:tcPr>
          <w:p>
            <w:pPr>
              <w:spacing w:line="300" w:lineRule="exact"/>
              <w:jc w:val="left"/>
              <w:rPr>
                <w:rFonts w:ascii="方正书宋_GBK" w:eastAsia="方正书宋_GBK"/>
                <w:color w:val="auto"/>
              </w:rPr>
            </w:pPr>
            <w:r>
              <w:rPr>
                <w:rFonts w:hint="eastAsia" w:ascii="方正书宋_GBK" w:eastAsia="方正书宋_GBK"/>
                <w:color w:val="auto"/>
              </w:rPr>
              <w:t>10</w:t>
            </w:r>
          </w:p>
        </w:tc>
        <w:tc>
          <w:tcPr>
            <w:tcW w:w="3405" w:type="dxa"/>
            <w:vMerge w:val="restart"/>
            <w:vAlign w:val="center"/>
          </w:tcPr>
          <w:p>
            <w:pPr>
              <w:spacing w:line="300" w:lineRule="exact"/>
              <w:jc w:val="left"/>
              <w:rPr>
                <w:rFonts w:ascii="方正书宋_GBK" w:eastAsia="方正书宋_GBK"/>
                <w:color w:val="auto"/>
              </w:rPr>
            </w:pPr>
            <w:r>
              <w:rPr>
                <w:rFonts w:hint="eastAsia" w:ascii="方正书宋_GBK" w:eastAsia="方正书宋_GBK"/>
                <w:color w:val="auto"/>
              </w:rPr>
              <w:t>为幼儿提供方便舒适的保育服务</w:t>
            </w:r>
          </w:p>
        </w:tc>
        <w:tc>
          <w:tcPr>
            <w:tcW w:w="3045" w:type="dxa"/>
            <w:vMerge w:val="restart"/>
            <w:vAlign w:val="center"/>
          </w:tcPr>
          <w:p>
            <w:pPr>
              <w:spacing w:line="300" w:lineRule="exact"/>
              <w:jc w:val="left"/>
              <w:rPr>
                <w:rFonts w:hint="eastAsia" w:ascii="方正书宋_GBK" w:eastAsia="方正书宋_GBK"/>
                <w:color w:val="auto"/>
              </w:rPr>
            </w:pPr>
            <w:r>
              <w:rPr>
                <w:rFonts w:hint="eastAsia" w:ascii="方正书宋_GBK" w:eastAsia="方正书宋_GBK"/>
                <w:color w:val="auto"/>
                <w:lang w:eastAsia="zh-CN"/>
              </w:rPr>
              <w:t>为幼儿提供</w:t>
            </w:r>
            <w:r>
              <w:rPr>
                <w:rFonts w:hint="eastAsia" w:ascii="方正书宋_GBK" w:eastAsia="方正书宋_GBK"/>
                <w:color w:val="auto"/>
              </w:rPr>
              <w:t>家长满意的保育服务</w:t>
            </w:r>
          </w:p>
          <w:p>
            <w:pPr>
              <w:spacing w:line="300" w:lineRule="exact"/>
              <w:jc w:val="left"/>
              <w:rPr>
                <w:rFonts w:ascii="方正书宋_GBK" w:eastAsia="方正书宋_GBK"/>
                <w:color w:val="auto"/>
              </w:rPr>
            </w:pPr>
          </w:p>
        </w:tc>
        <w:tc>
          <w:tcPr>
            <w:tcW w:w="1499" w:type="dxa"/>
            <w:vAlign w:val="center"/>
          </w:tcPr>
          <w:p>
            <w:pPr>
              <w:spacing w:line="300" w:lineRule="exact"/>
              <w:jc w:val="left"/>
              <w:rPr>
                <w:rFonts w:ascii="方正书宋_GBK" w:eastAsia="方正书宋_GBK"/>
                <w:color w:val="auto"/>
              </w:rPr>
            </w:pPr>
            <w:r>
              <w:rPr>
                <w:rFonts w:hint="eastAsia" w:ascii="方正书宋_GBK" w:eastAsia="方正书宋_GBK"/>
                <w:color w:val="auto"/>
              </w:rPr>
              <w:t>家长满意率</w:t>
            </w:r>
          </w:p>
        </w:tc>
        <w:tc>
          <w:tcPr>
            <w:tcW w:w="737" w:type="dxa"/>
            <w:vAlign w:val="center"/>
          </w:tcPr>
          <w:p>
            <w:pPr>
              <w:spacing w:line="300" w:lineRule="exact"/>
              <w:jc w:val="center"/>
              <w:rPr>
                <w:rFonts w:ascii="方正书宋_GBK" w:eastAsia="方正书宋_GBK"/>
                <w:color w:val="auto"/>
              </w:rPr>
            </w:pPr>
            <w:r>
              <w:rPr>
                <w:rFonts w:hint="eastAsia"/>
                <w:color w:val="auto"/>
              </w:rPr>
              <w:t>90%以上</w:t>
            </w:r>
          </w:p>
        </w:tc>
        <w:tc>
          <w:tcPr>
            <w:tcW w:w="737" w:type="dxa"/>
            <w:vAlign w:val="center"/>
          </w:tcPr>
          <w:p>
            <w:pPr>
              <w:spacing w:line="300" w:lineRule="exact"/>
              <w:jc w:val="center"/>
              <w:rPr>
                <w:rFonts w:ascii="方正书宋_GBK" w:eastAsia="方正书宋_GBK"/>
                <w:color w:val="auto"/>
              </w:rPr>
            </w:pPr>
            <w:r>
              <w:rPr>
                <w:rFonts w:hint="eastAsia"/>
                <w:color w:val="auto"/>
              </w:rPr>
              <w:t>75%--90%</w:t>
            </w:r>
          </w:p>
        </w:tc>
        <w:tc>
          <w:tcPr>
            <w:tcW w:w="737" w:type="dxa"/>
            <w:vAlign w:val="center"/>
          </w:tcPr>
          <w:p>
            <w:pPr>
              <w:spacing w:line="300" w:lineRule="exact"/>
              <w:jc w:val="center"/>
              <w:rPr>
                <w:rFonts w:ascii="方正书宋_GBK" w:eastAsia="方正书宋_GBK"/>
                <w:color w:val="auto"/>
              </w:rPr>
            </w:pPr>
            <w:r>
              <w:rPr>
                <w:rFonts w:hint="eastAsia"/>
                <w:color w:val="auto"/>
              </w:rPr>
              <w:t>60%--75%</w:t>
            </w:r>
          </w:p>
        </w:tc>
        <w:tc>
          <w:tcPr>
            <w:tcW w:w="737" w:type="dxa"/>
            <w:vAlign w:val="center"/>
          </w:tcPr>
          <w:p>
            <w:pPr>
              <w:spacing w:line="300" w:lineRule="exact"/>
              <w:jc w:val="center"/>
              <w:rPr>
                <w:rFonts w:ascii="方正书宋_GBK" w:eastAsia="方正书宋_GBK"/>
                <w:color w:val="auto"/>
              </w:rPr>
            </w:pPr>
            <w:r>
              <w:rPr>
                <w:rFonts w:hint="eastAsia"/>
                <w:color w:val="auto"/>
              </w:rPr>
              <w:t>60%以下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5" w:hRule="atLeast"/>
          <w:jc w:val="center"/>
        </w:trPr>
        <w:tc>
          <w:tcPr>
            <w:tcW w:w="2341" w:type="dxa"/>
            <w:vMerge w:val="continue"/>
            <w:vAlign w:val="center"/>
          </w:tcPr>
          <w:p>
            <w:pPr>
              <w:spacing w:line="300" w:lineRule="exact"/>
              <w:jc w:val="left"/>
              <w:rPr>
                <w:rFonts w:ascii="方正书宋_GBK" w:eastAsia="方正书宋_GBK"/>
                <w:b/>
                <w:color w:val="auto"/>
              </w:rPr>
            </w:pPr>
          </w:p>
        </w:tc>
        <w:tc>
          <w:tcPr>
            <w:tcW w:w="696" w:type="dxa"/>
            <w:vMerge w:val="continue"/>
            <w:vAlign w:val="center"/>
          </w:tcPr>
          <w:p>
            <w:pPr>
              <w:spacing w:line="300" w:lineRule="exact"/>
              <w:jc w:val="left"/>
              <w:rPr>
                <w:rFonts w:hint="eastAsia" w:ascii="方正书宋_GBK" w:eastAsia="方正书宋_GBK"/>
                <w:color w:val="auto"/>
              </w:rPr>
            </w:pPr>
          </w:p>
        </w:tc>
        <w:tc>
          <w:tcPr>
            <w:tcW w:w="3405" w:type="dxa"/>
            <w:vMerge w:val="continue"/>
            <w:vAlign w:val="center"/>
          </w:tcPr>
          <w:p>
            <w:pPr>
              <w:spacing w:line="300" w:lineRule="exact"/>
              <w:jc w:val="left"/>
              <w:rPr>
                <w:rFonts w:ascii="方正书宋_GBK" w:eastAsia="方正书宋_GBK"/>
                <w:color w:val="auto"/>
              </w:rPr>
            </w:pPr>
          </w:p>
        </w:tc>
        <w:tc>
          <w:tcPr>
            <w:tcW w:w="3045" w:type="dxa"/>
            <w:vMerge w:val="continue"/>
            <w:vAlign w:val="center"/>
          </w:tcPr>
          <w:p>
            <w:pPr>
              <w:spacing w:line="300" w:lineRule="exact"/>
              <w:jc w:val="left"/>
              <w:rPr>
                <w:rFonts w:ascii="方正书宋_GBK" w:eastAsia="方正书宋_GBK"/>
                <w:color w:val="auto"/>
              </w:rPr>
            </w:pPr>
          </w:p>
        </w:tc>
        <w:tc>
          <w:tcPr>
            <w:tcW w:w="1499" w:type="dxa"/>
            <w:vAlign w:val="center"/>
          </w:tcPr>
          <w:p>
            <w:pPr>
              <w:spacing w:line="300" w:lineRule="exact"/>
              <w:jc w:val="left"/>
              <w:rPr>
                <w:rFonts w:ascii="方正书宋_GBK" w:eastAsia="方正书宋_GBK"/>
                <w:color w:val="auto"/>
              </w:rPr>
            </w:pPr>
            <w:r>
              <w:rPr>
                <w:rFonts w:hint="eastAsia" w:ascii="方正书宋_GBK" w:eastAsia="方正书宋_GBK"/>
                <w:color w:val="auto"/>
              </w:rPr>
              <w:t>提供更好的保育服务</w:t>
            </w:r>
          </w:p>
        </w:tc>
        <w:tc>
          <w:tcPr>
            <w:tcW w:w="737" w:type="dxa"/>
            <w:vAlign w:val="center"/>
          </w:tcPr>
          <w:p>
            <w:pPr>
              <w:spacing w:line="300" w:lineRule="exact"/>
              <w:jc w:val="center"/>
              <w:rPr>
                <w:rFonts w:ascii="方正书宋_GBK" w:eastAsia="方正书宋_GBK"/>
                <w:color w:val="auto"/>
              </w:rPr>
            </w:pPr>
            <w:r>
              <w:rPr>
                <w:rFonts w:hint="eastAsia"/>
                <w:color w:val="auto"/>
              </w:rPr>
              <w:t>90%以上</w:t>
            </w:r>
          </w:p>
        </w:tc>
        <w:tc>
          <w:tcPr>
            <w:tcW w:w="737" w:type="dxa"/>
            <w:vAlign w:val="center"/>
          </w:tcPr>
          <w:p>
            <w:pPr>
              <w:spacing w:line="300" w:lineRule="exact"/>
              <w:jc w:val="center"/>
              <w:rPr>
                <w:rFonts w:ascii="方正书宋_GBK" w:eastAsia="方正书宋_GBK"/>
                <w:color w:val="auto"/>
              </w:rPr>
            </w:pPr>
            <w:r>
              <w:rPr>
                <w:rFonts w:hint="eastAsia"/>
                <w:color w:val="auto"/>
              </w:rPr>
              <w:t>75%--90%</w:t>
            </w:r>
          </w:p>
        </w:tc>
        <w:tc>
          <w:tcPr>
            <w:tcW w:w="737" w:type="dxa"/>
            <w:vAlign w:val="center"/>
          </w:tcPr>
          <w:p>
            <w:pPr>
              <w:spacing w:line="300" w:lineRule="exact"/>
              <w:jc w:val="center"/>
              <w:rPr>
                <w:rFonts w:ascii="方正书宋_GBK" w:eastAsia="方正书宋_GBK"/>
                <w:color w:val="auto"/>
              </w:rPr>
            </w:pPr>
            <w:r>
              <w:rPr>
                <w:rFonts w:hint="eastAsia"/>
                <w:color w:val="auto"/>
              </w:rPr>
              <w:t>60%--75%</w:t>
            </w:r>
          </w:p>
        </w:tc>
        <w:tc>
          <w:tcPr>
            <w:tcW w:w="737" w:type="dxa"/>
            <w:vAlign w:val="center"/>
          </w:tcPr>
          <w:p>
            <w:pPr>
              <w:spacing w:line="300" w:lineRule="exact"/>
              <w:jc w:val="center"/>
              <w:rPr>
                <w:rFonts w:ascii="方正书宋_GBK" w:eastAsia="方正书宋_GBK"/>
                <w:color w:val="auto"/>
              </w:rPr>
            </w:pPr>
            <w:r>
              <w:rPr>
                <w:rFonts w:hint="eastAsia"/>
                <w:color w:val="auto"/>
              </w:rPr>
              <w:t>60%以下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color w:val="auto"/>
              </w:rPr>
            </w:pPr>
            <w:r>
              <w:rPr>
                <w:rFonts w:hint="eastAsia" w:ascii="方正书宋_GBK" w:eastAsia="方正书宋_GBK"/>
                <w:b/>
                <w:color w:val="auto"/>
              </w:rPr>
              <w:t>　　</w:t>
            </w:r>
            <w:r>
              <w:rPr>
                <w:rFonts w:hint="eastAsia" w:ascii="方正书宋_GBK" w:eastAsia="方正书宋_GBK"/>
                <w:b/>
                <w:color w:val="auto"/>
                <w:lang w:val="en-US" w:eastAsia="zh-CN"/>
              </w:rPr>
              <w:t>2、</w:t>
            </w:r>
            <w:r>
              <w:rPr>
                <w:rFonts w:hint="eastAsia" w:ascii="方正书宋_GBK" w:eastAsia="方正书宋_GBK"/>
                <w:b/>
                <w:color w:val="auto"/>
              </w:rPr>
              <w:t>提供教育服务</w:t>
            </w:r>
          </w:p>
        </w:tc>
        <w:tc>
          <w:tcPr>
            <w:tcW w:w="696" w:type="dxa"/>
            <w:vAlign w:val="center"/>
          </w:tcPr>
          <w:p>
            <w:pPr>
              <w:spacing w:line="300" w:lineRule="exact"/>
              <w:jc w:val="left"/>
              <w:rPr>
                <w:rFonts w:hint="eastAsia" w:ascii="方正书宋_GBK" w:eastAsia="方正书宋_GBK"/>
                <w:color w:val="auto"/>
              </w:rPr>
            </w:pPr>
          </w:p>
        </w:tc>
        <w:tc>
          <w:tcPr>
            <w:tcW w:w="3405" w:type="dxa"/>
            <w:vAlign w:val="center"/>
          </w:tcPr>
          <w:p>
            <w:pPr>
              <w:spacing w:line="300" w:lineRule="exact"/>
              <w:jc w:val="left"/>
              <w:rPr>
                <w:rFonts w:ascii="方正书宋_GBK" w:eastAsia="方正书宋_GBK"/>
                <w:color w:val="auto"/>
              </w:rPr>
            </w:pPr>
            <w:r>
              <w:rPr>
                <w:rFonts w:hint="eastAsia" w:ascii="方正书宋_GBK" w:eastAsia="方正书宋_GBK"/>
                <w:color w:val="auto"/>
              </w:rPr>
              <w:t>组织幼儿开展日常活动</w:t>
            </w:r>
          </w:p>
        </w:tc>
        <w:tc>
          <w:tcPr>
            <w:tcW w:w="3045" w:type="dxa"/>
            <w:vAlign w:val="center"/>
          </w:tcPr>
          <w:p>
            <w:pPr>
              <w:spacing w:line="300" w:lineRule="exact"/>
              <w:jc w:val="left"/>
              <w:rPr>
                <w:rFonts w:ascii="方正书宋_GBK" w:eastAsia="方正书宋_GBK"/>
                <w:color w:val="auto"/>
              </w:rPr>
            </w:pPr>
            <w:r>
              <w:rPr>
                <w:rFonts w:hint="eastAsia" w:ascii="方正书宋_GBK" w:eastAsia="方正书宋_GBK"/>
                <w:color w:val="auto"/>
              </w:rPr>
              <w:t>促进幼儿多方面发展</w:t>
            </w:r>
          </w:p>
        </w:tc>
        <w:tc>
          <w:tcPr>
            <w:tcW w:w="1499" w:type="dxa"/>
            <w:vAlign w:val="center"/>
          </w:tcPr>
          <w:p>
            <w:pPr>
              <w:spacing w:line="300" w:lineRule="exact"/>
              <w:jc w:val="left"/>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color w:val="auto"/>
              </w:rPr>
            </w:pPr>
            <w:r>
              <w:rPr>
                <w:rFonts w:hint="eastAsia" w:ascii="方正书宋_GBK" w:eastAsia="方正书宋_GBK"/>
                <w:b/>
                <w:color w:val="auto"/>
                <w:lang w:eastAsia="zh-CN"/>
              </w:rPr>
              <w:t>二、</w:t>
            </w:r>
            <w:r>
              <w:rPr>
                <w:rFonts w:hint="eastAsia" w:ascii="方正书宋_GBK" w:eastAsia="方正书宋_GBK"/>
                <w:b/>
                <w:color w:val="auto"/>
              </w:rPr>
              <w:t>综合业务管理</w:t>
            </w:r>
          </w:p>
        </w:tc>
        <w:tc>
          <w:tcPr>
            <w:tcW w:w="696" w:type="dxa"/>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110</w:t>
            </w:r>
          </w:p>
        </w:tc>
        <w:tc>
          <w:tcPr>
            <w:tcW w:w="3405" w:type="dxa"/>
            <w:vAlign w:val="center"/>
          </w:tcPr>
          <w:p>
            <w:pPr>
              <w:spacing w:line="300" w:lineRule="exact"/>
              <w:jc w:val="left"/>
              <w:rPr>
                <w:rFonts w:ascii="方正书宋_GBK" w:eastAsia="方正书宋_GBK"/>
                <w:color w:val="auto"/>
              </w:rPr>
            </w:pPr>
            <w:r>
              <w:rPr>
                <w:rFonts w:hint="eastAsia" w:ascii="方正书宋_GBK" w:eastAsia="方正书宋_GBK"/>
                <w:color w:val="auto"/>
              </w:rPr>
              <w:t>提升幼儿园环境及设施，提升教职工素质，教师业务</w:t>
            </w:r>
            <w:r>
              <w:rPr>
                <w:rFonts w:hint="eastAsia" w:ascii="方正书宋_GBK" w:eastAsia="方正书宋_GBK"/>
                <w:color w:val="auto"/>
                <w:lang w:eastAsia="zh-CN"/>
              </w:rPr>
              <w:t>水平</w:t>
            </w:r>
            <w:r>
              <w:rPr>
                <w:rFonts w:hint="eastAsia" w:ascii="方正书宋_GBK" w:eastAsia="方正书宋_GBK"/>
                <w:color w:val="auto"/>
              </w:rPr>
              <w:t>等</w:t>
            </w:r>
          </w:p>
        </w:tc>
        <w:tc>
          <w:tcPr>
            <w:tcW w:w="3045" w:type="dxa"/>
            <w:vAlign w:val="center"/>
          </w:tcPr>
          <w:p>
            <w:pPr>
              <w:spacing w:line="300" w:lineRule="exact"/>
              <w:jc w:val="left"/>
              <w:rPr>
                <w:rFonts w:ascii="方正书宋_GBK" w:eastAsia="方正书宋_GBK"/>
                <w:color w:val="auto"/>
              </w:rPr>
            </w:pPr>
            <w:r>
              <w:rPr>
                <w:rFonts w:hint="eastAsia" w:ascii="方正书宋_GBK" w:eastAsia="方正书宋_GBK"/>
                <w:color w:val="auto"/>
              </w:rPr>
              <w:t>保证幼儿园正常运转</w:t>
            </w:r>
            <w:r>
              <w:rPr>
                <w:rFonts w:hint="eastAsia" w:ascii="方正书宋_GBK" w:eastAsia="方正书宋_GBK"/>
                <w:color w:val="auto"/>
                <w:lang w:eastAsia="zh-CN"/>
              </w:rPr>
              <w:t>，提供家长满意的保育和教育服务</w:t>
            </w:r>
          </w:p>
        </w:tc>
        <w:tc>
          <w:tcPr>
            <w:tcW w:w="1499" w:type="dxa"/>
            <w:vAlign w:val="center"/>
          </w:tcPr>
          <w:p>
            <w:pPr>
              <w:spacing w:line="300" w:lineRule="exact"/>
              <w:jc w:val="left"/>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color w:val="auto"/>
              </w:rPr>
            </w:pPr>
            <w:r>
              <w:rPr>
                <w:rFonts w:hint="eastAsia" w:ascii="方正书宋_GBK" w:eastAsia="方正书宋_GBK"/>
                <w:b/>
                <w:color w:val="auto"/>
              </w:rPr>
              <w:t>　　综合业务管理</w:t>
            </w:r>
          </w:p>
        </w:tc>
        <w:tc>
          <w:tcPr>
            <w:tcW w:w="696" w:type="dxa"/>
            <w:vMerge w:val="restart"/>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110</w:t>
            </w:r>
          </w:p>
        </w:tc>
        <w:tc>
          <w:tcPr>
            <w:tcW w:w="3405" w:type="dxa"/>
            <w:vMerge w:val="restart"/>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提升幼儿园环境及设施，提升教职工素质，教师业务</w:t>
            </w:r>
            <w:r>
              <w:rPr>
                <w:rFonts w:hint="eastAsia" w:ascii="方正书宋_GBK" w:eastAsia="方正书宋_GBK"/>
                <w:color w:val="auto"/>
                <w:lang w:eastAsia="zh-CN"/>
              </w:rPr>
              <w:t>水平</w:t>
            </w:r>
            <w:r>
              <w:rPr>
                <w:rFonts w:hint="eastAsia" w:ascii="方正书宋_GBK" w:eastAsia="方正书宋_GBK"/>
                <w:color w:val="auto"/>
              </w:rPr>
              <w:t>等</w:t>
            </w:r>
          </w:p>
        </w:tc>
        <w:tc>
          <w:tcPr>
            <w:tcW w:w="3045" w:type="dxa"/>
            <w:vMerge w:val="restart"/>
            <w:vAlign w:val="center"/>
          </w:tcPr>
          <w:p>
            <w:pPr>
              <w:spacing w:line="300" w:lineRule="exact"/>
              <w:jc w:val="left"/>
              <w:rPr>
                <w:rFonts w:hint="eastAsia" w:ascii="方正书宋_GBK" w:eastAsia="方正书宋_GBK"/>
                <w:color w:val="auto"/>
                <w:lang w:eastAsia="zh-CN"/>
              </w:rPr>
            </w:pPr>
            <w:r>
              <w:rPr>
                <w:rFonts w:hint="eastAsia" w:ascii="方正书宋_GBK" w:eastAsia="方正书宋_GBK"/>
                <w:color w:val="auto"/>
              </w:rPr>
              <w:t>保证幼儿园正常运转</w:t>
            </w:r>
            <w:r>
              <w:rPr>
                <w:rFonts w:hint="eastAsia" w:ascii="方正书宋_GBK" w:eastAsia="方正书宋_GBK"/>
                <w:color w:val="auto"/>
                <w:lang w:eastAsia="zh-CN"/>
              </w:rPr>
              <w:t>，提供家长满意的保育和教育服务</w:t>
            </w:r>
          </w:p>
        </w:tc>
        <w:tc>
          <w:tcPr>
            <w:tcW w:w="1499" w:type="dxa"/>
            <w:vAlign w:val="center"/>
          </w:tcPr>
          <w:p>
            <w:pPr>
              <w:spacing w:line="300" w:lineRule="exact"/>
              <w:jc w:val="left"/>
              <w:rPr>
                <w:rFonts w:hint="eastAsia" w:ascii="方正书宋_GBK" w:eastAsia="方正书宋_GBK"/>
                <w:color w:val="auto"/>
                <w:lang w:eastAsia="zh-CN"/>
              </w:rPr>
            </w:pPr>
            <w:r>
              <w:rPr>
                <w:rFonts w:hint="eastAsia" w:ascii="方正书宋_GBK" w:eastAsia="方正书宋_GBK"/>
                <w:color w:val="auto"/>
                <w:lang w:eastAsia="zh-CN"/>
              </w:rPr>
              <w:t>家长满意率</w:t>
            </w:r>
          </w:p>
        </w:tc>
        <w:tc>
          <w:tcPr>
            <w:tcW w:w="737" w:type="dxa"/>
            <w:vAlign w:val="center"/>
          </w:tcPr>
          <w:p>
            <w:pPr>
              <w:spacing w:line="300" w:lineRule="exact"/>
              <w:jc w:val="center"/>
              <w:rPr>
                <w:rFonts w:ascii="方正书宋_GBK" w:eastAsia="方正书宋_GBK"/>
                <w:color w:val="auto"/>
              </w:rPr>
            </w:pPr>
            <w:r>
              <w:rPr>
                <w:rFonts w:hint="eastAsia"/>
                <w:color w:val="auto"/>
              </w:rPr>
              <w:t>90%以上</w:t>
            </w:r>
          </w:p>
        </w:tc>
        <w:tc>
          <w:tcPr>
            <w:tcW w:w="737" w:type="dxa"/>
            <w:vAlign w:val="center"/>
          </w:tcPr>
          <w:p>
            <w:pPr>
              <w:spacing w:line="300" w:lineRule="exact"/>
              <w:jc w:val="center"/>
              <w:rPr>
                <w:rFonts w:ascii="方正书宋_GBK" w:eastAsia="方正书宋_GBK"/>
                <w:color w:val="auto"/>
              </w:rPr>
            </w:pPr>
            <w:r>
              <w:rPr>
                <w:rFonts w:hint="eastAsia"/>
                <w:color w:val="auto"/>
              </w:rPr>
              <w:t>75%--90%</w:t>
            </w:r>
          </w:p>
        </w:tc>
        <w:tc>
          <w:tcPr>
            <w:tcW w:w="737" w:type="dxa"/>
            <w:vAlign w:val="center"/>
          </w:tcPr>
          <w:p>
            <w:pPr>
              <w:spacing w:line="300" w:lineRule="exact"/>
              <w:jc w:val="center"/>
              <w:rPr>
                <w:rFonts w:ascii="方正书宋_GBK" w:eastAsia="方正书宋_GBK"/>
                <w:color w:val="auto"/>
              </w:rPr>
            </w:pPr>
            <w:r>
              <w:rPr>
                <w:rFonts w:hint="eastAsia"/>
                <w:color w:val="auto"/>
              </w:rPr>
              <w:t>60%--75%</w:t>
            </w:r>
          </w:p>
        </w:tc>
        <w:tc>
          <w:tcPr>
            <w:tcW w:w="737" w:type="dxa"/>
            <w:vAlign w:val="center"/>
          </w:tcPr>
          <w:p>
            <w:pPr>
              <w:spacing w:line="300" w:lineRule="exact"/>
              <w:jc w:val="center"/>
              <w:rPr>
                <w:rFonts w:ascii="方正书宋_GBK" w:eastAsia="方正书宋_GBK"/>
                <w:color w:val="auto"/>
              </w:rPr>
            </w:pPr>
            <w:r>
              <w:rPr>
                <w:rFonts w:hint="eastAsia"/>
                <w:color w:val="auto"/>
              </w:rPr>
              <w:t>60%以下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color w:val="auto"/>
              </w:rPr>
            </w:pPr>
          </w:p>
        </w:tc>
        <w:tc>
          <w:tcPr>
            <w:tcW w:w="696" w:type="dxa"/>
            <w:vMerge w:val="continue"/>
            <w:vAlign w:val="center"/>
          </w:tcPr>
          <w:p>
            <w:pPr>
              <w:spacing w:line="300" w:lineRule="exact"/>
              <w:jc w:val="left"/>
              <w:rPr>
                <w:rFonts w:hint="eastAsia" w:ascii="方正书宋_GBK" w:eastAsia="方正书宋_GBK"/>
                <w:color w:val="auto"/>
              </w:rPr>
            </w:pPr>
          </w:p>
        </w:tc>
        <w:tc>
          <w:tcPr>
            <w:tcW w:w="3405" w:type="dxa"/>
            <w:vMerge w:val="continue"/>
            <w:vAlign w:val="center"/>
          </w:tcPr>
          <w:p>
            <w:pPr>
              <w:spacing w:line="300" w:lineRule="exact"/>
              <w:jc w:val="left"/>
              <w:rPr>
                <w:rFonts w:hint="eastAsia" w:ascii="方正书宋_GBK" w:eastAsia="方正书宋_GBK"/>
                <w:color w:val="auto"/>
              </w:rPr>
            </w:pPr>
          </w:p>
        </w:tc>
        <w:tc>
          <w:tcPr>
            <w:tcW w:w="3045" w:type="dxa"/>
            <w:vMerge w:val="continue"/>
            <w:vAlign w:val="center"/>
          </w:tcPr>
          <w:p>
            <w:pPr>
              <w:spacing w:line="300" w:lineRule="exact"/>
              <w:jc w:val="left"/>
              <w:rPr>
                <w:rFonts w:ascii="方正书宋_GBK" w:eastAsia="方正书宋_GBK"/>
                <w:color w:val="auto"/>
              </w:rPr>
            </w:pPr>
          </w:p>
        </w:tc>
        <w:tc>
          <w:tcPr>
            <w:tcW w:w="1499" w:type="dxa"/>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提供更好的保育</w:t>
            </w:r>
            <w:r>
              <w:rPr>
                <w:rFonts w:hint="eastAsia" w:ascii="方正书宋_GBK" w:eastAsia="方正书宋_GBK"/>
                <w:color w:val="auto"/>
                <w:lang w:eastAsia="zh-CN"/>
              </w:rPr>
              <w:t>和教育</w:t>
            </w:r>
            <w:r>
              <w:rPr>
                <w:rFonts w:hint="eastAsia" w:ascii="方正书宋_GBK" w:eastAsia="方正书宋_GBK"/>
                <w:color w:val="auto"/>
              </w:rPr>
              <w:t>服务</w:t>
            </w:r>
          </w:p>
          <w:p>
            <w:pPr>
              <w:spacing w:line="300" w:lineRule="exact"/>
              <w:jc w:val="left"/>
              <w:rPr>
                <w:rFonts w:ascii="方正书宋_GBK" w:eastAsia="方正书宋_GBK"/>
                <w:color w:val="auto"/>
              </w:rPr>
            </w:pPr>
          </w:p>
        </w:tc>
        <w:tc>
          <w:tcPr>
            <w:tcW w:w="737" w:type="dxa"/>
            <w:vAlign w:val="center"/>
          </w:tcPr>
          <w:p>
            <w:pPr>
              <w:spacing w:line="300" w:lineRule="exact"/>
              <w:jc w:val="center"/>
              <w:rPr>
                <w:rFonts w:ascii="方正书宋_GBK" w:eastAsia="方正书宋_GBK"/>
                <w:color w:val="auto"/>
              </w:rPr>
            </w:pPr>
            <w:r>
              <w:rPr>
                <w:rFonts w:hint="eastAsia"/>
                <w:color w:val="auto"/>
              </w:rPr>
              <w:t>90%以上</w:t>
            </w:r>
          </w:p>
        </w:tc>
        <w:tc>
          <w:tcPr>
            <w:tcW w:w="737" w:type="dxa"/>
            <w:vAlign w:val="center"/>
          </w:tcPr>
          <w:p>
            <w:pPr>
              <w:spacing w:line="300" w:lineRule="exact"/>
              <w:jc w:val="center"/>
              <w:rPr>
                <w:rFonts w:ascii="方正书宋_GBK" w:eastAsia="方正书宋_GBK"/>
                <w:color w:val="auto"/>
              </w:rPr>
            </w:pPr>
            <w:r>
              <w:rPr>
                <w:rFonts w:hint="eastAsia"/>
                <w:color w:val="auto"/>
              </w:rPr>
              <w:t>75%--90%</w:t>
            </w:r>
          </w:p>
        </w:tc>
        <w:tc>
          <w:tcPr>
            <w:tcW w:w="737" w:type="dxa"/>
            <w:vAlign w:val="center"/>
          </w:tcPr>
          <w:p>
            <w:pPr>
              <w:spacing w:line="300" w:lineRule="exact"/>
              <w:jc w:val="center"/>
              <w:rPr>
                <w:rFonts w:ascii="方正书宋_GBK" w:eastAsia="方正书宋_GBK"/>
                <w:color w:val="auto"/>
              </w:rPr>
            </w:pPr>
            <w:r>
              <w:rPr>
                <w:rFonts w:hint="eastAsia"/>
                <w:color w:val="auto"/>
              </w:rPr>
              <w:t>60%--75%</w:t>
            </w:r>
          </w:p>
        </w:tc>
        <w:tc>
          <w:tcPr>
            <w:tcW w:w="737" w:type="dxa"/>
            <w:vAlign w:val="center"/>
          </w:tcPr>
          <w:p>
            <w:pPr>
              <w:spacing w:line="300" w:lineRule="exact"/>
              <w:jc w:val="center"/>
              <w:rPr>
                <w:rFonts w:ascii="方正书宋_GBK" w:eastAsia="方正书宋_GBK"/>
                <w:color w:val="auto"/>
              </w:rPr>
            </w:pPr>
            <w:r>
              <w:rPr>
                <w:rFonts w:hint="eastAsia"/>
                <w:color w:val="auto"/>
              </w:rPr>
              <w:t>60%以下</w:t>
            </w:r>
          </w:p>
        </w:tc>
      </w:tr>
    </w:tbl>
    <w:p>
      <w:pPr>
        <w:ind w:firstLine="640" w:firstLineChars="200"/>
        <w:jc w:val="left"/>
        <w:rPr>
          <w:rFonts w:hint="eastAsia" w:ascii="黑体" w:hAnsi="黑体" w:eastAsia="黑体" w:cs="黑体"/>
          <w:sz w:val="32"/>
          <w:szCs w:val="32"/>
        </w:rPr>
      </w:pPr>
    </w:p>
    <w:p>
      <w:pPr>
        <w:ind w:firstLine="640" w:firstLineChars="200"/>
        <w:jc w:val="left"/>
        <w:rPr>
          <w:rFonts w:hint="eastAsia" w:ascii="黑体" w:hAnsi="黑体" w:eastAsia="黑体" w:cs="黑体"/>
          <w:b/>
          <w:sz w:val="32"/>
          <w:szCs w:val="32"/>
        </w:rPr>
      </w:pPr>
      <w:r>
        <w:rPr>
          <w:rFonts w:hint="eastAsia" w:ascii="黑体" w:hAnsi="黑体" w:eastAsia="黑体" w:cs="黑体"/>
          <w:sz w:val="32"/>
          <w:szCs w:val="32"/>
        </w:rPr>
        <w:t>六、政府采购预算情况</w:t>
      </w:r>
    </w:p>
    <w:p>
      <w:pPr>
        <w:ind w:firstLine="560" w:firstLineChars="200"/>
        <w:jc w:val="left"/>
        <w:rPr>
          <w:rFonts w:hint="eastAsia" w:ascii="仿宋" w:hAnsi="仿宋" w:eastAsia="仿宋" w:cs="仿宋"/>
          <w:sz w:val="28"/>
          <w:szCs w:val="28"/>
        </w:rPr>
      </w:pPr>
      <w:r>
        <w:rPr>
          <w:rFonts w:hint="eastAsia" w:ascii="仿宋" w:hAnsi="仿宋" w:eastAsia="仿宋" w:cs="仿宋"/>
          <w:sz w:val="28"/>
          <w:szCs w:val="28"/>
        </w:rPr>
        <w:t>201</w:t>
      </w:r>
      <w:r>
        <w:rPr>
          <w:rFonts w:hint="eastAsia" w:ascii="仿宋" w:hAnsi="仿宋" w:eastAsia="仿宋" w:cs="仿宋"/>
          <w:sz w:val="28"/>
          <w:szCs w:val="28"/>
          <w:lang w:val="en-US" w:eastAsia="zh-CN"/>
        </w:rPr>
        <w:t>9</w:t>
      </w:r>
      <w:bookmarkStart w:id="2" w:name="_GoBack"/>
      <w:bookmarkEnd w:id="2"/>
      <w:r>
        <w:rPr>
          <w:rFonts w:hint="eastAsia" w:ascii="仿宋" w:hAnsi="仿宋" w:eastAsia="仿宋" w:cs="仿宋"/>
          <w:sz w:val="28"/>
          <w:szCs w:val="28"/>
        </w:rPr>
        <w:t>年本部门安排政府采购预算15万元，具体内容见下表。</w:t>
      </w:r>
      <w:r>
        <w:rPr>
          <w:rFonts w:ascii="仿宋" w:hAnsi="仿宋" w:eastAsia="仿宋" w:cs="仿宋"/>
          <w:sz w:val="28"/>
          <w:szCs w:val="28"/>
        </w:rPr>
        <w:t xml:space="preserve"> </w:t>
      </w:r>
    </w:p>
    <w:p>
      <w:pPr>
        <w:jc w:val="center"/>
        <w:outlineLvl w:val="0"/>
        <w:rPr>
          <w:rFonts w:hint="eastAsia" w:ascii="仿宋" w:hAnsi="仿宋" w:eastAsia="仿宋"/>
          <w:sz w:val="28"/>
          <w:szCs w:val="28"/>
        </w:rPr>
      </w:pPr>
      <w:r>
        <w:rPr>
          <w:rFonts w:hint="eastAsia" w:ascii="仿宋" w:hAnsi="仿宋" w:eastAsia="仿宋" w:cs="黑体"/>
          <w:sz w:val="28"/>
          <w:szCs w:val="28"/>
        </w:rPr>
        <w:t xml:space="preserve"> </w:t>
      </w:r>
      <w:r>
        <w:rPr>
          <w:rFonts w:hint="eastAsia" w:ascii="仿宋" w:hAnsi="仿宋" w:eastAsia="仿宋" w:cs="黑体"/>
          <w:sz w:val="28"/>
          <w:szCs w:val="28"/>
          <w:lang w:eastAsia="zh-CN"/>
        </w:rPr>
        <w:t>部门</w:t>
      </w:r>
      <w:r>
        <w:rPr>
          <w:rFonts w:hint="eastAsia" w:ascii="仿宋" w:hAnsi="仿宋" w:eastAsia="仿宋" w:cs="黑体"/>
          <w:sz w:val="28"/>
          <w:szCs w:val="28"/>
        </w:rPr>
        <w:t>政府采购预算</w:t>
      </w:r>
    </w:p>
    <w:tbl>
      <w:tblPr>
        <w:tblStyle w:val="8"/>
        <w:tblW w:w="133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5"/>
        <w:gridCol w:w="1011"/>
        <w:gridCol w:w="840"/>
        <w:gridCol w:w="917"/>
        <w:gridCol w:w="840"/>
        <w:gridCol w:w="840"/>
        <w:gridCol w:w="859"/>
        <w:gridCol w:w="840"/>
        <w:gridCol w:w="840"/>
        <w:gridCol w:w="840"/>
        <w:gridCol w:w="840"/>
        <w:gridCol w:w="840"/>
        <w:gridCol w:w="840"/>
        <w:gridCol w:w="7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6" w:hRule="atLeast"/>
          <w:tblHeader/>
          <w:jc w:val="center"/>
        </w:trPr>
        <w:tc>
          <w:tcPr>
            <w:tcW w:w="7542" w:type="dxa"/>
            <w:gridSpan w:val="7"/>
            <w:tcBorders>
              <w:top w:val="single" w:color="FFFFFF" w:sz="6" w:space="0"/>
              <w:left w:val="single" w:color="FFFFFF" w:sz="6" w:space="0"/>
              <w:right w:val="single" w:color="FFFFFF" w:sz="6" w:space="0"/>
            </w:tcBorders>
            <w:tcMar>
              <w:left w:w="57" w:type="dxa"/>
              <w:right w:w="57" w:type="dxa"/>
            </w:tcMar>
            <w:vAlign w:val="center"/>
          </w:tcPr>
          <w:p>
            <w:pPr>
              <w:spacing w:line="300" w:lineRule="exact"/>
              <w:jc w:val="left"/>
              <w:rPr>
                <w:rFonts w:ascii="方正小标宋_GBK" w:eastAsia="方正小标宋_GBK"/>
                <w:sz w:val="24"/>
              </w:rPr>
            </w:pPr>
            <w:r>
              <w:rPr>
                <w:rFonts w:ascii="方正小标宋_GBK" w:eastAsia="方正小标宋_GBK"/>
                <w:sz w:val="24"/>
              </w:rPr>
              <w:t>519</w:t>
            </w:r>
            <w:r>
              <w:rPr>
                <w:rFonts w:hint="eastAsia" w:ascii="方正小标宋_GBK" w:eastAsia="方正小标宋_GBK"/>
                <w:sz w:val="24"/>
              </w:rPr>
              <w:t>石家庄市直机关第一幼儿园</w:t>
            </w:r>
          </w:p>
        </w:tc>
        <w:tc>
          <w:tcPr>
            <w:tcW w:w="5832" w:type="dxa"/>
            <w:gridSpan w:val="7"/>
            <w:tcBorders>
              <w:top w:val="single" w:color="FFFFFF" w:sz="6" w:space="0"/>
              <w:left w:val="single" w:color="FFFFFF" w:sz="6" w:space="0"/>
              <w:right w:val="single" w:color="FFFFFF" w:sz="6" w:space="0"/>
            </w:tcBorders>
            <w:tcMar>
              <w:left w:w="57" w:type="dxa"/>
              <w:right w:w="57" w:type="dxa"/>
            </w:tcMar>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246" w:type="dxa"/>
            <w:gridSpan w:val="2"/>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40"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17"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40"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840"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59"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32" w:type="dxa"/>
            <w:gridSpan w:val="7"/>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35"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11"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40" w:type="dxa"/>
            <w:vMerge w:val="continue"/>
            <w:tcMar>
              <w:left w:w="57" w:type="dxa"/>
              <w:right w:w="57" w:type="dxa"/>
            </w:tcMar>
            <w:vAlign w:val="center"/>
          </w:tcPr>
          <w:p>
            <w:pPr>
              <w:spacing w:line="300" w:lineRule="exact"/>
              <w:jc w:val="left"/>
              <w:outlineLvl w:val="0"/>
            </w:pPr>
          </w:p>
        </w:tc>
        <w:tc>
          <w:tcPr>
            <w:tcW w:w="917"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859" w:type="dxa"/>
            <w:vMerge w:val="continue"/>
            <w:tcMar>
              <w:left w:w="57" w:type="dxa"/>
              <w:right w:w="57" w:type="dxa"/>
            </w:tcMar>
            <w:vAlign w:val="center"/>
          </w:tcPr>
          <w:p>
            <w:pPr>
              <w:spacing w:line="300" w:lineRule="exact"/>
              <w:jc w:val="left"/>
              <w:outlineLvl w:val="0"/>
            </w:pPr>
          </w:p>
        </w:tc>
        <w:tc>
          <w:tcPr>
            <w:tcW w:w="840"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200" w:type="dxa"/>
            <w:gridSpan w:val="5"/>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792" w:type="dxa"/>
            <w:vMerge w:val="restart"/>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35" w:type="dxa"/>
            <w:vMerge w:val="continue"/>
            <w:tcMar>
              <w:left w:w="57" w:type="dxa"/>
              <w:right w:w="57" w:type="dxa"/>
            </w:tcMar>
            <w:vAlign w:val="center"/>
          </w:tcPr>
          <w:p>
            <w:pPr>
              <w:spacing w:line="300" w:lineRule="exact"/>
              <w:jc w:val="left"/>
              <w:outlineLvl w:val="0"/>
            </w:pPr>
          </w:p>
        </w:tc>
        <w:tc>
          <w:tcPr>
            <w:tcW w:w="1011"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917"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859" w:type="dxa"/>
            <w:vMerge w:val="continue"/>
            <w:tcMar>
              <w:left w:w="57" w:type="dxa"/>
              <w:right w:w="57" w:type="dxa"/>
            </w:tcMar>
            <w:vAlign w:val="center"/>
          </w:tcPr>
          <w:p>
            <w:pPr>
              <w:spacing w:line="300" w:lineRule="exact"/>
              <w:jc w:val="left"/>
              <w:outlineLvl w:val="0"/>
            </w:pPr>
          </w:p>
        </w:tc>
        <w:tc>
          <w:tcPr>
            <w:tcW w:w="840" w:type="dxa"/>
            <w:vMerge w:val="continue"/>
            <w:tcMar>
              <w:left w:w="57" w:type="dxa"/>
              <w:right w:w="57" w:type="dxa"/>
            </w:tcMar>
            <w:vAlign w:val="center"/>
          </w:tcPr>
          <w:p>
            <w:pPr>
              <w:spacing w:line="300" w:lineRule="exact"/>
              <w:jc w:val="left"/>
              <w:outlineLvl w:val="0"/>
            </w:pPr>
          </w:p>
        </w:tc>
        <w:tc>
          <w:tcPr>
            <w:tcW w:w="840"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40"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40"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40"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40"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792" w:type="dxa"/>
            <w:vMerge w:val="continue"/>
            <w:tcMar>
              <w:left w:w="57" w:type="dxa"/>
              <w:right w:w="57" w:type="dxa"/>
            </w:tcMar>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35" w:type="dxa"/>
            <w:tcMar>
              <w:left w:w="57" w:type="dxa"/>
              <w:right w:w="57" w:type="dxa"/>
            </w:tcMar>
            <w:vAlign w:val="center"/>
          </w:tcPr>
          <w:p>
            <w:pPr>
              <w:spacing w:line="300" w:lineRule="exact"/>
              <w:jc w:val="center"/>
              <w:rPr>
                <w:rFonts w:ascii="方正书宋_GBK" w:eastAsia="方正书宋_GBK"/>
                <w:b/>
              </w:rPr>
            </w:pPr>
            <w:r>
              <w:rPr>
                <w:rFonts w:hint="eastAsia" w:ascii="方正书宋_GBK" w:eastAsia="方正书宋_GBK"/>
                <w:b/>
              </w:rPr>
              <w:t>石家庄市直机关第一幼儿园小计</w:t>
            </w:r>
          </w:p>
        </w:tc>
        <w:tc>
          <w:tcPr>
            <w:tcW w:w="1011" w:type="dxa"/>
            <w:tcMar>
              <w:left w:w="57" w:type="dxa"/>
              <w:right w:w="57" w:type="dxa"/>
            </w:tcMar>
            <w:vAlign w:val="center"/>
          </w:tcPr>
          <w:p>
            <w:pPr>
              <w:spacing w:line="300" w:lineRule="exact"/>
              <w:jc w:val="right"/>
              <w:rPr>
                <w:rFonts w:ascii="方正书宋_GBK" w:eastAsia="方正书宋_GBK"/>
                <w:b/>
              </w:rPr>
            </w:pPr>
          </w:p>
        </w:tc>
        <w:tc>
          <w:tcPr>
            <w:tcW w:w="840" w:type="dxa"/>
            <w:tcMar>
              <w:left w:w="57" w:type="dxa"/>
              <w:right w:w="57" w:type="dxa"/>
            </w:tcMar>
            <w:vAlign w:val="center"/>
          </w:tcPr>
          <w:p>
            <w:pPr>
              <w:spacing w:line="300" w:lineRule="exact"/>
              <w:jc w:val="left"/>
              <w:rPr>
                <w:rFonts w:ascii="方正书宋_GBK" w:eastAsia="方正书宋_GBK"/>
                <w:b/>
              </w:rPr>
            </w:pPr>
          </w:p>
        </w:tc>
        <w:tc>
          <w:tcPr>
            <w:tcW w:w="917" w:type="dxa"/>
            <w:tcMar>
              <w:left w:w="57" w:type="dxa"/>
              <w:right w:w="57" w:type="dxa"/>
            </w:tcMar>
            <w:vAlign w:val="center"/>
          </w:tcPr>
          <w:p>
            <w:pPr>
              <w:spacing w:line="300" w:lineRule="exact"/>
              <w:jc w:val="left"/>
              <w:rPr>
                <w:rFonts w:ascii="方正书宋_GBK" w:eastAsia="方正书宋_GBK"/>
                <w:b/>
              </w:rPr>
            </w:pPr>
          </w:p>
        </w:tc>
        <w:tc>
          <w:tcPr>
            <w:tcW w:w="840" w:type="dxa"/>
            <w:tcMar>
              <w:left w:w="57" w:type="dxa"/>
              <w:right w:w="57" w:type="dxa"/>
            </w:tcMar>
            <w:vAlign w:val="center"/>
          </w:tcPr>
          <w:p>
            <w:pPr>
              <w:spacing w:line="300" w:lineRule="exact"/>
              <w:jc w:val="left"/>
              <w:rPr>
                <w:rFonts w:ascii="方正书宋_GBK" w:eastAsia="方正书宋_GBK"/>
                <w:b/>
              </w:rPr>
            </w:pPr>
          </w:p>
        </w:tc>
        <w:tc>
          <w:tcPr>
            <w:tcW w:w="840" w:type="dxa"/>
            <w:tcMar>
              <w:left w:w="57" w:type="dxa"/>
              <w:right w:w="57" w:type="dxa"/>
            </w:tcMar>
            <w:vAlign w:val="center"/>
          </w:tcPr>
          <w:p>
            <w:pPr>
              <w:spacing w:line="300" w:lineRule="exact"/>
              <w:jc w:val="right"/>
              <w:rPr>
                <w:rFonts w:ascii="方正书宋_GBK" w:eastAsia="方正书宋_GBK"/>
                <w:b/>
              </w:rPr>
            </w:pPr>
          </w:p>
        </w:tc>
        <w:tc>
          <w:tcPr>
            <w:tcW w:w="859" w:type="dxa"/>
            <w:tcMar>
              <w:left w:w="57" w:type="dxa"/>
              <w:right w:w="57" w:type="dxa"/>
            </w:tcMar>
            <w:vAlign w:val="center"/>
          </w:tcPr>
          <w:p>
            <w:pPr>
              <w:spacing w:line="300" w:lineRule="exact"/>
              <w:jc w:val="right"/>
              <w:rPr>
                <w:rFonts w:ascii="方正书宋_GBK" w:eastAsia="方正书宋_GBK"/>
                <w:b/>
              </w:rPr>
            </w:pPr>
          </w:p>
        </w:tc>
        <w:tc>
          <w:tcPr>
            <w:tcW w:w="840" w:type="dxa"/>
            <w:tcMar>
              <w:left w:w="57" w:type="dxa"/>
              <w:right w:w="57" w:type="dxa"/>
            </w:tcMar>
            <w:vAlign w:val="center"/>
          </w:tcPr>
          <w:p>
            <w:pPr>
              <w:jc w:val="center"/>
            </w:pPr>
            <w:r>
              <w:rPr>
                <w:rFonts w:hint="eastAsia" w:ascii="方正书宋_GBK" w:eastAsia="方正书宋_GBK"/>
              </w:rPr>
              <w:t>15</w:t>
            </w:r>
            <w:r>
              <w:rPr>
                <w:rFonts w:ascii="方正书宋_GBK" w:eastAsia="方正书宋_GBK"/>
              </w:rPr>
              <w:t>.00</w:t>
            </w:r>
          </w:p>
        </w:tc>
        <w:tc>
          <w:tcPr>
            <w:tcW w:w="840" w:type="dxa"/>
            <w:tcMar>
              <w:left w:w="57" w:type="dxa"/>
              <w:right w:w="57" w:type="dxa"/>
            </w:tcMar>
            <w:vAlign w:val="center"/>
          </w:tcPr>
          <w:p>
            <w:pPr>
              <w:jc w:val="center"/>
            </w:pPr>
            <w:r>
              <w:rPr>
                <w:rFonts w:hint="eastAsia" w:ascii="方正书宋_GBK" w:eastAsia="方正书宋_GBK"/>
              </w:rPr>
              <w:t>15</w:t>
            </w:r>
            <w:r>
              <w:rPr>
                <w:rFonts w:ascii="方正书宋_GBK" w:eastAsia="方正书宋_GBK"/>
              </w:rPr>
              <w:t>.00</w:t>
            </w:r>
          </w:p>
        </w:tc>
        <w:tc>
          <w:tcPr>
            <w:tcW w:w="840" w:type="dxa"/>
            <w:tcMar>
              <w:left w:w="57" w:type="dxa"/>
              <w:right w:w="57" w:type="dxa"/>
            </w:tcMar>
            <w:vAlign w:val="center"/>
          </w:tcPr>
          <w:p>
            <w:pPr>
              <w:jc w:val="center"/>
            </w:pPr>
            <w:r>
              <w:rPr>
                <w:rFonts w:hint="eastAsia" w:ascii="方正书宋_GBK" w:eastAsia="方正书宋_GBK"/>
              </w:rPr>
              <w:t>15</w:t>
            </w:r>
            <w:r>
              <w:rPr>
                <w:rFonts w:ascii="方正书宋_GBK" w:eastAsia="方正书宋_GBK"/>
              </w:rPr>
              <w:t>.00</w:t>
            </w:r>
          </w:p>
        </w:tc>
        <w:tc>
          <w:tcPr>
            <w:tcW w:w="840" w:type="dxa"/>
            <w:tcMar>
              <w:left w:w="57" w:type="dxa"/>
              <w:right w:w="57" w:type="dxa"/>
            </w:tcMar>
            <w:vAlign w:val="center"/>
          </w:tcPr>
          <w:p>
            <w:pPr>
              <w:spacing w:line="300" w:lineRule="exact"/>
              <w:jc w:val="right"/>
              <w:rPr>
                <w:rFonts w:ascii="方正书宋_GBK" w:eastAsia="方正书宋_GBK"/>
                <w:b/>
              </w:rPr>
            </w:pPr>
          </w:p>
        </w:tc>
        <w:tc>
          <w:tcPr>
            <w:tcW w:w="840" w:type="dxa"/>
            <w:tcMar>
              <w:left w:w="57" w:type="dxa"/>
              <w:right w:w="57" w:type="dxa"/>
            </w:tcMar>
            <w:vAlign w:val="center"/>
          </w:tcPr>
          <w:p>
            <w:pPr>
              <w:spacing w:line="300" w:lineRule="exact"/>
              <w:jc w:val="right"/>
              <w:rPr>
                <w:rFonts w:ascii="方正书宋_GBK" w:eastAsia="方正书宋_GBK"/>
                <w:b/>
              </w:rPr>
            </w:pPr>
          </w:p>
        </w:tc>
        <w:tc>
          <w:tcPr>
            <w:tcW w:w="840" w:type="dxa"/>
            <w:tcMar>
              <w:left w:w="57" w:type="dxa"/>
              <w:right w:w="57" w:type="dxa"/>
            </w:tcMar>
            <w:vAlign w:val="center"/>
          </w:tcPr>
          <w:p>
            <w:pPr>
              <w:spacing w:line="300" w:lineRule="exact"/>
              <w:jc w:val="right"/>
              <w:rPr>
                <w:rFonts w:ascii="方正书宋_GBK" w:eastAsia="方正书宋_GBK"/>
                <w:b/>
              </w:rPr>
            </w:pPr>
          </w:p>
        </w:tc>
        <w:tc>
          <w:tcPr>
            <w:tcW w:w="792" w:type="dxa"/>
            <w:tcMar>
              <w:left w:w="57" w:type="dxa"/>
              <w:right w:w="57" w:type="dxa"/>
            </w:tcMar>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35" w:type="dxa"/>
            <w:tcMar>
              <w:left w:w="57" w:type="dxa"/>
              <w:right w:w="57" w:type="dxa"/>
            </w:tcMar>
            <w:vAlign w:val="center"/>
          </w:tcPr>
          <w:p>
            <w:pPr>
              <w:spacing w:line="300" w:lineRule="exact"/>
              <w:jc w:val="left"/>
              <w:rPr>
                <w:rFonts w:hint="eastAsia" w:ascii="方正书宋_GBK" w:eastAsia="方正书宋_GBK"/>
                <w:color w:val="auto"/>
                <w:lang w:val="en-US" w:eastAsia="zh-CN"/>
              </w:rPr>
            </w:pPr>
            <w:r>
              <w:rPr>
                <w:rFonts w:hint="eastAsia" w:ascii="方正书宋_GBK" w:eastAsia="方正书宋_GBK"/>
                <w:color w:val="auto"/>
                <w:lang w:eastAsia="zh-CN"/>
              </w:rPr>
              <w:t>办公设备购置</w:t>
            </w:r>
            <w:r>
              <w:rPr>
                <w:rFonts w:hint="eastAsia" w:ascii="方正书宋_GBK" w:eastAsia="方正书宋_GBK"/>
                <w:color w:val="auto"/>
                <w:lang w:val="en-US" w:eastAsia="zh-CN"/>
              </w:rPr>
              <w:t>---园内设施及设备购置</w:t>
            </w:r>
          </w:p>
        </w:tc>
        <w:tc>
          <w:tcPr>
            <w:tcW w:w="1011" w:type="dxa"/>
            <w:tcMar>
              <w:left w:w="57" w:type="dxa"/>
              <w:right w:w="57" w:type="dxa"/>
            </w:tcMar>
            <w:vAlign w:val="center"/>
          </w:tcPr>
          <w:p>
            <w:pPr>
              <w:spacing w:line="300" w:lineRule="exact"/>
              <w:jc w:val="right"/>
              <w:rPr>
                <w:rFonts w:ascii="方正书宋_GBK" w:eastAsia="方正书宋_GBK"/>
                <w:color w:val="auto"/>
              </w:rPr>
            </w:pPr>
            <w:r>
              <w:rPr>
                <w:rFonts w:hint="eastAsia" w:ascii="方正书宋_GBK" w:eastAsia="方正书宋_GBK"/>
                <w:color w:val="auto"/>
              </w:rPr>
              <w:t>15</w:t>
            </w:r>
            <w:r>
              <w:rPr>
                <w:rFonts w:ascii="方正书宋_GBK" w:eastAsia="方正书宋_GBK"/>
                <w:color w:val="auto"/>
              </w:rPr>
              <w:t>.00</w:t>
            </w:r>
          </w:p>
        </w:tc>
        <w:tc>
          <w:tcPr>
            <w:tcW w:w="840" w:type="dxa"/>
            <w:tcMar>
              <w:left w:w="57" w:type="dxa"/>
              <w:right w:w="57" w:type="dxa"/>
            </w:tcMar>
            <w:vAlign w:val="center"/>
          </w:tcPr>
          <w:p>
            <w:pPr>
              <w:spacing w:line="300" w:lineRule="exact"/>
              <w:jc w:val="left"/>
              <w:rPr>
                <w:rFonts w:hint="eastAsia" w:ascii="方正书宋_GBK" w:eastAsia="方正书宋_GBK"/>
                <w:color w:val="auto"/>
                <w:lang w:eastAsia="zh-CN"/>
              </w:rPr>
            </w:pPr>
            <w:r>
              <w:rPr>
                <w:rFonts w:hint="eastAsia" w:ascii="方正书宋_GBK" w:eastAsia="方正书宋_GBK"/>
                <w:color w:val="auto"/>
                <w:lang w:eastAsia="zh-CN"/>
              </w:rPr>
              <w:t>通用设备</w:t>
            </w:r>
          </w:p>
        </w:tc>
        <w:tc>
          <w:tcPr>
            <w:tcW w:w="917" w:type="dxa"/>
            <w:tcMar>
              <w:left w:w="57" w:type="dxa"/>
              <w:right w:w="57" w:type="dxa"/>
            </w:tcMar>
            <w:vAlign w:val="center"/>
          </w:tcPr>
          <w:p>
            <w:pPr>
              <w:spacing w:line="300" w:lineRule="exact"/>
              <w:jc w:val="left"/>
              <w:rPr>
                <w:rFonts w:hint="eastAsia" w:ascii="方正书宋_GBK" w:eastAsia="方正书宋_GBK"/>
                <w:color w:val="auto"/>
                <w:lang w:val="en-US" w:eastAsia="zh-CN"/>
              </w:rPr>
            </w:pPr>
            <w:r>
              <w:rPr>
                <w:rFonts w:ascii="方正书宋_GBK" w:eastAsia="方正书宋_GBK"/>
                <w:color w:val="auto"/>
              </w:rPr>
              <w:t>A</w:t>
            </w:r>
            <w:r>
              <w:rPr>
                <w:rFonts w:hint="eastAsia" w:ascii="方正书宋_GBK" w:eastAsia="方正书宋_GBK"/>
                <w:color w:val="auto"/>
                <w:lang w:val="en-US" w:eastAsia="zh-CN"/>
              </w:rPr>
              <w:t>02</w:t>
            </w:r>
          </w:p>
        </w:tc>
        <w:tc>
          <w:tcPr>
            <w:tcW w:w="840" w:type="dxa"/>
            <w:tcMar>
              <w:left w:w="57" w:type="dxa"/>
              <w:right w:w="57" w:type="dxa"/>
            </w:tcMar>
            <w:vAlign w:val="center"/>
          </w:tcPr>
          <w:p>
            <w:pPr>
              <w:spacing w:line="300" w:lineRule="exact"/>
              <w:jc w:val="left"/>
              <w:rPr>
                <w:rFonts w:hint="eastAsia" w:ascii="方正书宋_GBK" w:eastAsia="方正书宋_GBK"/>
                <w:color w:val="auto"/>
                <w:lang w:eastAsia="zh-CN"/>
              </w:rPr>
            </w:pPr>
            <w:r>
              <w:rPr>
                <w:rFonts w:hint="eastAsia" w:ascii="方正书宋_GBK" w:eastAsia="方正书宋_GBK"/>
                <w:color w:val="auto"/>
                <w:lang w:eastAsia="zh-CN"/>
              </w:rPr>
              <w:t>台</w:t>
            </w:r>
          </w:p>
        </w:tc>
        <w:tc>
          <w:tcPr>
            <w:tcW w:w="840" w:type="dxa"/>
            <w:tcMar>
              <w:left w:w="57" w:type="dxa"/>
              <w:right w:w="57" w:type="dxa"/>
            </w:tcMar>
            <w:vAlign w:val="center"/>
          </w:tcPr>
          <w:p>
            <w:pPr>
              <w:spacing w:line="300" w:lineRule="exact"/>
              <w:jc w:val="right"/>
              <w:rPr>
                <w:rFonts w:hint="eastAsia" w:ascii="方正书宋_GBK" w:eastAsia="方正书宋_GBK"/>
                <w:color w:val="auto"/>
              </w:rPr>
            </w:pPr>
            <w:r>
              <w:rPr>
                <w:rFonts w:hint="eastAsia" w:ascii="方正书宋_GBK" w:eastAsia="方正书宋_GBK"/>
                <w:color w:val="auto"/>
              </w:rPr>
              <w:t>50</w:t>
            </w:r>
          </w:p>
        </w:tc>
        <w:tc>
          <w:tcPr>
            <w:tcW w:w="859" w:type="dxa"/>
            <w:tcMar>
              <w:left w:w="57" w:type="dxa"/>
              <w:right w:w="57" w:type="dxa"/>
            </w:tcMar>
            <w:vAlign w:val="center"/>
          </w:tcPr>
          <w:p>
            <w:pPr>
              <w:spacing w:line="300" w:lineRule="exact"/>
              <w:jc w:val="right"/>
              <w:rPr>
                <w:rFonts w:ascii="方正书宋_GBK" w:eastAsia="方正书宋_GBK"/>
                <w:color w:val="auto"/>
              </w:rPr>
            </w:pPr>
            <w:r>
              <w:rPr>
                <w:rFonts w:hint="eastAsia" w:ascii="方正书宋_GBK" w:eastAsia="方正书宋_GBK"/>
                <w:color w:val="auto"/>
              </w:rPr>
              <w:t>0.3</w:t>
            </w:r>
          </w:p>
        </w:tc>
        <w:tc>
          <w:tcPr>
            <w:tcW w:w="840" w:type="dxa"/>
            <w:tcMar>
              <w:left w:w="57" w:type="dxa"/>
              <w:right w:w="57" w:type="dxa"/>
            </w:tcMar>
            <w:vAlign w:val="center"/>
          </w:tcPr>
          <w:p>
            <w:pPr>
              <w:jc w:val="center"/>
              <w:rPr>
                <w:color w:val="auto"/>
              </w:rPr>
            </w:pPr>
            <w:r>
              <w:rPr>
                <w:rFonts w:hint="eastAsia" w:ascii="方正书宋_GBK" w:eastAsia="方正书宋_GBK"/>
                <w:color w:val="auto"/>
              </w:rPr>
              <w:t>15</w:t>
            </w:r>
            <w:r>
              <w:rPr>
                <w:rFonts w:ascii="方正书宋_GBK" w:eastAsia="方正书宋_GBK"/>
                <w:color w:val="auto"/>
              </w:rPr>
              <w:t>.00</w:t>
            </w:r>
          </w:p>
        </w:tc>
        <w:tc>
          <w:tcPr>
            <w:tcW w:w="840" w:type="dxa"/>
            <w:tcMar>
              <w:left w:w="57" w:type="dxa"/>
              <w:right w:w="57" w:type="dxa"/>
            </w:tcMar>
            <w:vAlign w:val="center"/>
          </w:tcPr>
          <w:p>
            <w:pPr>
              <w:jc w:val="center"/>
              <w:rPr>
                <w:color w:val="auto"/>
              </w:rPr>
            </w:pPr>
            <w:r>
              <w:rPr>
                <w:rFonts w:hint="eastAsia" w:ascii="方正书宋_GBK" w:eastAsia="方正书宋_GBK"/>
                <w:color w:val="auto"/>
              </w:rPr>
              <w:t>15</w:t>
            </w:r>
            <w:r>
              <w:rPr>
                <w:rFonts w:ascii="方正书宋_GBK" w:eastAsia="方正书宋_GBK"/>
                <w:color w:val="auto"/>
              </w:rPr>
              <w:t>.00</w:t>
            </w:r>
          </w:p>
        </w:tc>
        <w:tc>
          <w:tcPr>
            <w:tcW w:w="840" w:type="dxa"/>
            <w:tcMar>
              <w:left w:w="57" w:type="dxa"/>
              <w:right w:w="57" w:type="dxa"/>
            </w:tcMar>
            <w:vAlign w:val="center"/>
          </w:tcPr>
          <w:p>
            <w:pPr>
              <w:jc w:val="center"/>
              <w:rPr>
                <w:color w:val="auto"/>
              </w:rPr>
            </w:pPr>
            <w:r>
              <w:rPr>
                <w:rFonts w:hint="eastAsia" w:ascii="方正书宋_GBK" w:eastAsia="方正书宋_GBK"/>
                <w:color w:val="auto"/>
              </w:rPr>
              <w:t>15</w:t>
            </w:r>
            <w:r>
              <w:rPr>
                <w:rFonts w:ascii="方正书宋_GBK" w:eastAsia="方正书宋_GBK"/>
                <w:color w:val="auto"/>
              </w:rPr>
              <w:t>.00</w:t>
            </w:r>
          </w:p>
        </w:tc>
        <w:tc>
          <w:tcPr>
            <w:tcW w:w="840" w:type="dxa"/>
            <w:tcMar>
              <w:left w:w="57" w:type="dxa"/>
              <w:right w:w="57" w:type="dxa"/>
            </w:tcMar>
            <w:vAlign w:val="center"/>
          </w:tcPr>
          <w:p>
            <w:pPr>
              <w:spacing w:line="300" w:lineRule="exact"/>
              <w:jc w:val="right"/>
              <w:rPr>
                <w:rFonts w:ascii="方正书宋_GBK" w:eastAsia="方正书宋_GBK"/>
                <w:color w:val="FF0000"/>
              </w:rPr>
            </w:pPr>
          </w:p>
        </w:tc>
        <w:tc>
          <w:tcPr>
            <w:tcW w:w="840" w:type="dxa"/>
            <w:tcMar>
              <w:left w:w="57" w:type="dxa"/>
              <w:right w:w="57" w:type="dxa"/>
            </w:tcMar>
            <w:vAlign w:val="center"/>
          </w:tcPr>
          <w:p>
            <w:pPr>
              <w:spacing w:line="300" w:lineRule="exact"/>
              <w:jc w:val="right"/>
              <w:rPr>
                <w:rFonts w:ascii="方正书宋_GBK" w:eastAsia="方正书宋_GBK"/>
                <w:color w:val="FF0000"/>
              </w:rPr>
            </w:pPr>
          </w:p>
        </w:tc>
        <w:tc>
          <w:tcPr>
            <w:tcW w:w="840" w:type="dxa"/>
            <w:tcMar>
              <w:left w:w="57" w:type="dxa"/>
              <w:right w:w="57" w:type="dxa"/>
            </w:tcMar>
            <w:vAlign w:val="center"/>
          </w:tcPr>
          <w:p>
            <w:pPr>
              <w:spacing w:line="300" w:lineRule="exact"/>
              <w:jc w:val="right"/>
              <w:rPr>
                <w:rFonts w:ascii="方正书宋_GBK" w:eastAsia="方正书宋_GBK"/>
                <w:color w:val="FF0000"/>
              </w:rPr>
            </w:pPr>
          </w:p>
        </w:tc>
        <w:tc>
          <w:tcPr>
            <w:tcW w:w="792" w:type="dxa"/>
            <w:tcMar>
              <w:left w:w="57" w:type="dxa"/>
              <w:right w:w="57" w:type="dxa"/>
            </w:tcMar>
            <w:vAlign w:val="center"/>
          </w:tcPr>
          <w:p>
            <w:pPr>
              <w:spacing w:line="300" w:lineRule="exact"/>
              <w:jc w:val="right"/>
              <w:rPr>
                <w:rFonts w:ascii="方正书宋_GBK" w:eastAsia="方正书宋_GBK"/>
                <w:color w:val="FF0000"/>
              </w:rPr>
            </w:pPr>
          </w:p>
        </w:tc>
      </w:tr>
    </w:tbl>
    <w:p>
      <w:pPr>
        <w:ind w:firstLine="640" w:firstLineChars="200"/>
        <w:jc w:val="left"/>
        <w:rPr>
          <w:rFonts w:hint="eastAsia" w:ascii="黑体" w:hAnsi="黑体" w:eastAsia="黑体" w:cs="黑体"/>
          <w:bCs/>
          <w:sz w:val="32"/>
          <w:szCs w:val="32"/>
        </w:rPr>
      </w:pPr>
      <w:r>
        <w:rPr>
          <w:rFonts w:hint="eastAsia" w:ascii="黑体" w:hAnsi="黑体" w:eastAsia="黑体" w:cs="黑体"/>
          <w:bCs/>
          <w:sz w:val="32"/>
          <w:szCs w:val="32"/>
        </w:rPr>
        <w:t>七、国有资产信息</w:t>
      </w:r>
    </w:p>
    <w:p>
      <w:pPr>
        <w:ind w:firstLine="560" w:firstLineChars="200"/>
        <w:jc w:val="left"/>
        <w:rPr>
          <w:rFonts w:hint="eastAsia" w:ascii="仿宋" w:hAnsi="仿宋" w:eastAsia="仿宋" w:cs="仿宋"/>
          <w:sz w:val="28"/>
          <w:szCs w:val="28"/>
        </w:rPr>
      </w:pPr>
      <w:r>
        <w:rPr>
          <w:rFonts w:hint="eastAsia" w:ascii="仿宋" w:hAnsi="仿宋" w:eastAsia="仿宋" w:cs="仿宋"/>
          <w:sz w:val="28"/>
          <w:szCs w:val="28"/>
        </w:rPr>
        <w:t xml:space="preserve">本部门2018年末固定资产金额为300.85万元（详见下表），本年度本部门拟购置固定资产总额为 </w:t>
      </w:r>
      <w:r>
        <w:rPr>
          <w:rFonts w:hint="eastAsia" w:ascii="仿宋" w:hAnsi="仿宋" w:eastAsia="仿宋" w:cs="仿宋"/>
          <w:sz w:val="28"/>
          <w:szCs w:val="28"/>
          <w:lang w:val="en-US" w:eastAsia="zh-CN"/>
        </w:rPr>
        <w:t>15</w:t>
      </w:r>
      <w:r>
        <w:rPr>
          <w:rFonts w:hint="eastAsia" w:ascii="仿宋" w:hAnsi="仿宋" w:eastAsia="仿宋" w:cs="仿宋"/>
          <w:sz w:val="28"/>
          <w:szCs w:val="28"/>
        </w:rPr>
        <w:t>万元，主要为教学设备、办公设备等，已列入政府采购预算，详见政府采购预算表。</w:t>
      </w:r>
    </w:p>
    <w:p>
      <w:pPr>
        <w:ind w:firstLine="560" w:firstLineChars="200"/>
        <w:jc w:val="left"/>
        <w:rPr>
          <w:rFonts w:hint="eastAsia" w:ascii="仿宋" w:hAnsi="仿宋" w:eastAsia="仿宋" w:cs="仿宋"/>
          <w:sz w:val="28"/>
          <w:szCs w:val="28"/>
        </w:rPr>
      </w:pPr>
    </w:p>
    <w:p>
      <w:pPr>
        <w:ind w:firstLine="560" w:firstLineChars="200"/>
        <w:jc w:val="left"/>
        <w:rPr>
          <w:rFonts w:hint="eastAsia" w:ascii="仿宋" w:hAnsi="仿宋" w:eastAsia="仿宋" w:cs="仿宋"/>
          <w:sz w:val="28"/>
          <w:szCs w:val="28"/>
        </w:rPr>
      </w:pPr>
    </w:p>
    <w:p>
      <w:pPr>
        <w:ind w:firstLine="562" w:firstLineChars="200"/>
        <w:jc w:val="center"/>
        <w:rPr>
          <w:rFonts w:hint="eastAsia" w:ascii="仿宋" w:hAnsi="仿宋" w:eastAsia="仿宋" w:cs="仿宋"/>
          <w:b/>
          <w:bCs/>
          <w:sz w:val="28"/>
          <w:szCs w:val="28"/>
        </w:rPr>
      </w:pPr>
    </w:p>
    <w:p>
      <w:pPr>
        <w:ind w:firstLine="562" w:firstLineChars="200"/>
        <w:jc w:val="center"/>
        <w:rPr>
          <w:rFonts w:hint="eastAsia" w:ascii="仿宋" w:hAnsi="仿宋" w:eastAsia="仿宋" w:cs="仿宋"/>
          <w:sz w:val="28"/>
          <w:szCs w:val="28"/>
        </w:rPr>
      </w:pPr>
      <w:r>
        <w:rPr>
          <w:rFonts w:hint="eastAsia" w:ascii="仿宋" w:hAnsi="仿宋" w:eastAsia="仿宋" w:cs="仿宋"/>
          <w:b/>
          <w:bCs/>
          <w:sz w:val="28"/>
          <w:szCs w:val="28"/>
        </w:rPr>
        <w:t>本部门固定资产占用情况表</w:t>
      </w:r>
    </w:p>
    <w:tbl>
      <w:tblPr>
        <w:tblStyle w:val="8"/>
        <w:tblW w:w="131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92"/>
        <w:gridCol w:w="4393"/>
        <w:gridCol w:w="4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tcBorders>
              <w:top w:val="nil"/>
              <w:left w:val="nil"/>
              <w:right w:val="nil"/>
            </w:tcBorders>
            <w:vAlign w:val="top"/>
          </w:tcPr>
          <w:p>
            <w:pPr>
              <w:jc w:val="left"/>
              <w:rPr>
                <w:rFonts w:hint="eastAsia" w:ascii="仿宋" w:hAnsi="仿宋" w:eastAsia="仿宋" w:cs="仿宋"/>
                <w:sz w:val="28"/>
                <w:szCs w:val="28"/>
              </w:rPr>
            </w:pPr>
            <w:r>
              <w:rPr>
                <w:rFonts w:hint="eastAsia" w:ascii="仿宋" w:hAnsi="仿宋" w:eastAsia="仿宋" w:cs="仿宋"/>
                <w:sz w:val="24"/>
              </w:rPr>
              <w:t>编制部门：石家庄市直机关第一幼儿园</w:t>
            </w:r>
          </w:p>
        </w:tc>
        <w:tc>
          <w:tcPr>
            <w:tcW w:w="4393" w:type="dxa"/>
            <w:tcBorders>
              <w:top w:val="nil"/>
              <w:left w:val="nil"/>
              <w:right w:val="nil"/>
            </w:tcBorders>
            <w:vAlign w:val="top"/>
          </w:tcPr>
          <w:p>
            <w:pPr>
              <w:jc w:val="left"/>
              <w:rPr>
                <w:rFonts w:hint="eastAsia" w:ascii="仿宋" w:hAnsi="仿宋" w:eastAsia="仿宋" w:cs="仿宋"/>
                <w:sz w:val="28"/>
                <w:szCs w:val="28"/>
              </w:rPr>
            </w:pPr>
          </w:p>
        </w:tc>
        <w:tc>
          <w:tcPr>
            <w:tcW w:w="4393" w:type="dxa"/>
            <w:tcBorders>
              <w:top w:val="nil"/>
              <w:left w:val="nil"/>
              <w:right w:val="nil"/>
            </w:tcBorders>
            <w:vAlign w:val="top"/>
          </w:tcPr>
          <w:p>
            <w:pPr>
              <w:ind w:firstLine="960" w:firstLineChars="400"/>
              <w:jc w:val="left"/>
              <w:rPr>
                <w:rFonts w:hint="eastAsia" w:ascii="仿宋" w:hAnsi="仿宋" w:eastAsia="仿宋" w:cs="仿宋"/>
                <w:sz w:val="28"/>
                <w:szCs w:val="28"/>
              </w:rPr>
            </w:pPr>
            <w:r>
              <w:rPr>
                <w:rFonts w:hint="eastAsia" w:ascii="仿宋" w:hAnsi="仿宋" w:eastAsia="仿宋" w:cs="仿宋"/>
                <w:sz w:val="24"/>
              </w:rPr>
              <w:t>截止日期：2018年12月31日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项目</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 xml:space="preserve">数量 </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资产总额</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300.85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left"/>
              <w:rPr>
                <w:rFonts w:hint="eastAsia" w:ascii="仿宋" w:hAnsi="仿宋" w:eastAsia="仿宋" w:cs="仿宋"/>
                <w:sz w:val="28"/>
                <w:szCs w:val="28"/>
              </w:rPr>
            </w:pPr>
            <w:r>
              <w:rPr>
                <w:rFonts w:hint="eastAsia" w:ascii="仿宋" w:hAnsi="仿宋" w:eastAsia="仿宋" w:cs="仿宋"/>
                <w:sz w:val="28"/>
                <w:szCs w:val="28"/>
              </w:rPr>
              <w:t>1、房屋（平方米）</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2200</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center"/>
              <w:rPr>
                <w:rFonts w:hint="eastAsia" w:ascii="仿宋" w:hAnsi="仿宋" w:eastAsia="仿宋" w:cs="仿宋"/>
                <w:sz w:val="28"/>
                <w:szCs w:val="28"/>
              </w:rPr>
            </w:pPr>
            <w:r>
              <w:rPr>
                <w:rFonts w:hint="eastAsia" w:ascii="仿宋" w:hAnsi="仿宋" w:eastAsia="仿宋" w:cs="仿宋"/>
                <w:sz w:val="24"/>
              </w:rPr>
              <w:t xml:space="preserve">其中：办公用房（平方米） </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2200</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left"/>
              <w:rPr>
                <w:rFonts w:hint="eastAsia" w:ascii="仿宋" w:hAnsi="仿宋" w:eastAsia="仿宋" w:cs="仿宋"/>
                <w:sz w:val="28"/>
                <w:szCs w:val="28"/>
              </w:rPr>
            </w:pPr>
            <w:r>
              <w:rPr>
                <w:rFonts w:hint="eastAsia" w:ascii="仿宋" w:hAnsi="仿宋" w:eastAsia="仿宋" w:cs="仿宋"/>
                <w:sz w:val="28"/>
                <w:szCs w:val="28"/>
              </w:rPr>
              <w:t xml:space="preserve">2、车辆（台、辆） </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2</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21.58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left"/>
              <w:rPr>
                <w:rFonts w:hint="eastAsia" w:ascii="仿宋" w:hAnsi="仿宋" w:eastAsia="仿宋" w:cs="仿宋"/>
                <w:sz w:val="28"/>
                <w:szCs w:val="28"/>
              </w:rPr>
            </w:pPr>
            <w:r>
              <w:rPr>
                <w:rFonts w:hint="eastAsia" w:ascii="仿宋" w:hAnsi="仿宋" w:eastAsia="仿宋" w:cs="仿宋"/>
                <w:sz w:val="28"/>
                <w:szCs w:val="28"/>
              </w:rPr>
              <w:t>3、单价在 20 万元以上的设备</w:t>
            </w:r>
          </w:p>
        </w:tc>
        <w:tc>
          <w:tcPr>
            <w:tcW w:w="4393" w:type="dxa"/>
            <w:vAlign w:val="top"/>
          </w:tcPr>
          <w:p>
            <w:pPr>
              <w:jc w:val="center"/>
              <w:rPr>
                <w:rFonts w:hint="eastAsia" w:ascii="仿宋" w:hAnsi="仿宋" w:eastAsia="仿宋" w:cs="仿宋"/>
                <w:sz w:val="28"/>
                <w:szCs w:val="28"/>
              </w:rPr>
            </w:pPr>
          </w:p>
        </w:tc>
        <w:tc>
          <w:tcPr>
            <w:tcW w:w="4393" w:type="dxa"/>
            <w:vAlign w:val="top"/>
          </w:tcPr>
          <w:p>
            <w:pPr>
              <w:jc w:val="center"/>
              <w:rPr>
                <w:rFonts w:hint="eastAsia" w:ascii="仿宋" w:hAnsi="仿宋" w:eastAsia="仿宋"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392" w:type="dxa"/>
            <w:vAlign w:val="top"/>
          </w:tcPr>
          <w:p>
            <w:pPr>
              <w:jc w:val="left"/>
              <w:rPr>
                <w:rFonts w:hint="eastAsia" w:ascii="仿宋" w:hAnsi="仿宋" w:eastAsia="仿宋" w:cs="仿宋"/>
                <w:sz w:val="28"/>
                <w:szCs w:val="28"/>
              </w:rPr>
            </w:pPr>
            <w:r>
              <w:rPr>
                <w:rFonts w:hint="eastAsia" w:ascii="仿宋" w:hAnsi="仿宋" w:eastAsia="仿宋" w:cs="仿宋"/>
                <w:sz w:val="28"/>
                <w:szCs w:val="28"/>
              </w:rPr>
              <w:t xml:space="preserve">4、其他固定资产 </w:t>
            </w:r>
          </w:p>
        </w:tc>
        <w:tc>
          <w:tcPr>
            <w:tcW w:w="4393" w:type="dxa"/>
            <w:vAlign w:val="top"/>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350</w:t>
            </w:r>
          </w:p>
        </w:tc>
        <w:tc>
          <w:tcPr>
            <w:tcW w:w="4393" w:type="dxa"/>
            <w:vAlign w:val="top"/>
          </w:tcPr>
          <w:p>
            <w:pPr>
              <w:jc w:val="center"/>
              <w:rPr>
                <w:rFonts w:hint="eastAsia" w:ascii="仿宋" w:hAnsi="仿宋" w:eastAsia="仿宋" w:cs="仿宋"/>
                <w:sz w:val="28"/>
                <w:szCs w:val="28"/>
              </w:rPr>
            </w:pPr>
            <w:r>
              <w:rPr>
                <w:rFonts w:hint="eastAsia" w:ascii="仿宋" w:hAnsi="仿宋" w:eastAsia="仿宋" w:cs="仿宋"/>
                <w:sz w:val="28"/>
                <w:szCs w:val="28"/>
              </w:rPr>
              <w:t>209.27</w:t>
            </w:r>
          </w:p>
        </w:tc>
      </w:tr>
    </w:tbl>
    <w:p>
      <w:pPr>
        <w:adjustRightInd w:val="0"/>
        <w:snapToGrid w:val="0"/>
        <w:spacing w:line="560" w:lineRule="exact"/>
        <w:ind w:firstLine="640" w:firstLineChars="200"/>
        <w:jc w:val="left"/>
        <w:rPr>
          <w:rFonts w:hint="eastAsia" w:ascii="黑体" w:hAnsi="黑体" w:eastAsia="黑体" w:cs="黑体"/>
          <w:bCs/>
          <w:sz w:val="32"/>
          <w:szCs w:val="32"/>
        </w:rPr>
      </w:pPr>
      <w:bookmarkStart w:id="1" w:name="_Toc439550048"/>
      <w:r>
        <w:rPr>
          <w:rFonts w:hint="eastAsia" w:ascii="黑体" w:hAnsi="黑体" w:eastAsia="黑体" w:cs="黑体"/>
          <w:bCs/>
          <w:sz w:val="32"/>
          <w:szCs w:val="32"/>
        </w:rPr>
        <w:t>八、名词解释</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1、一般公共预算拨款收入：指财政当年拨付的资金。</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2、事业收入：指事业单位开展专业业务活动及辅助活动所取得的收入。</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3、其他收入：指除“一般公共预算拨款收入”、“事业收入”等以外的收入。主要是按规定动用的租房收入、存款利息收入等。</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4、基本支出：指为保障机构正常运转、完成日常工作任务而发生的人员支出和公用支出。</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5、项目支出：指在基本支出之外为完成特定行政任务和事业发展目标所发生的支出。</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6、上缴上级支出：指下级单位上缴上级的支出。</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7、“三公”经费：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560" w:firstLineChars="200"/>
        <w:rPr>
          <w:rFonts w:hint="eastAsia" w:ascii="仿宋" w:hAnsi="仿宋" w:eastAsia="仿宋" w:cs="仿宋"/>
          <w:sz w:val="28"/>
          <w:szCs w:val="28"/>
        </w:rPr>
      </w:pPr>
      <w:r>
        <w:rPr>
          <w:rFonts w:hint="eastAsia" w:ascii="仿宋" w:hAnsi="仿宋" w:eastAsia="仿宋" w:cs="仿宋_GB2312"/>
          <w:bCs/>
          <w:sz w:val="28"/>
          <w:szCs w:val="28"/>
        </w:rPr>
        <w:t>8、</w:t>
      </w:r>
      <w:r>
        <w:rPr>
          <w:rFonts w:hint="eastAsia" w:ascii="仿宋" w:hAnsi="仿宋" w:eastAsia="仿宋" w:cs="仿宋"/>
          <w:sz w:val="28"/>
          <w:szCs w:val="28"/>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9、上年结转：指以前年度尚未完成、结转到本年仍按原规定用途继续使用的资金。</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10、事业单位经营支出：指事业单位在专业业务活动及其辅助活动之外开展非独立核算经营活动发生的支出。</w:t>
      </w:r>
    </w:p>
    <w:p>
      <w:pPr>
        <w:adjustRightInd w:val="0"/>
        <w:snapToGrid w:val="0"/>
        <w:spacing w:line="560" w:lineRule="exact"/>
        <w:ind w:firstLine="640" w:firstLineChars="200"/>
        <w:jc w:val="left"/>
        <w:rPr>
          <w:rFonts w:hint="eastAsia" w:ascii="黑体" w:hAnsi="黑体" w:eastAsia="黑体" w:cs="黑体"/>
          <w:bCs/>
          <w:sz w:val="32"/>
          <w:szCs w:val="32"/>
        </w:rPr>
      </w:pPr>
      <w:r>
        <w:rPr>
          <w:rFonts w:hint="eastAsia" w:ascii="黑体" w:hAnsi="黑体" w:eastAsia="黑体" w:cs="黑体"/>
          <w:bCs/>
          <w:sz w:val="32"/>
          <w:szCs w:val="32"/>
        </w:rPr>
        <w:t>九、其他需要说明的事项</w:t>
      </w:r>
    </w:p>
    <w:p>
      <w:pPr>
        <w:adjustRightInd w:val="0"/>
        <w:snapToGrid w:val="0"/>
        <w:spacing w:line="560" w:lineRule="exact"/>
        <w:ind w:firstLine="560" w:firstLineChars="200"/>
        <w:jc w:val="left"/>
        <w:rPr>
          <w:rFonts w:hint="eastAsia" w:ascii="方正小标宋_GBK" w:eastAsia="方正小标宋_GBK"/>
          <w:sz w:val="32"/>
        </w:rPr>
      </w:pPr>
      <w:r>
        <w:rPr>
          <w:rFonts w:hint="eastAsia" w:ascii="仿宋" w:hAnsi="仿宋" w:eastAsia="仿宋" w:cs="仿宋_GB2312"/>
          <w:bCs/>
          <w:sz w:val="28"/>
          <w:szCs w:val="28"/>
        </w:rPr>
        <w:t>我部门无其他需要说明的事项。</w:t>
      </w:r>
      <w:bookmarkEnd w:id="1"/>
    </w:p>
    <w:sectPr>
      <w:headerReference r:id="rId3" w:type="default"/>
      <w:pgSz w:w="16840" w:h="11907" w:orient="landscape"/>
      <w:pgMar w:top="1134" w:right="1797" w:bottom="1077" w:left="1797" w:header="851" w:footer="1417" w:gutter="283"/>
      <w:cols w:space="720" w:num="1"/>
      <w:docGrid w:type="lines" w:linePitch="32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仿宋">
    <w:panose1 w:val="02010609060101010101"/>
    <w:charset w:val="86"/>
    <w:family w:val="swiss"/>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10" w:usb3="00000000" w:csb0="00040000"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876160944">
    <w:nsid w:val="343927B0"/>
    <w:multiLevelType w:val="multilevel"/>
    <w:tmpl w:val="343927B0"/>
    <w:lvl w:ilvl="0" w:tentative="1">
      <w:start w:val="2"/>
      <w:numFmt w:val="japaneseCounting"/>
      <w:lvlText w:val="（%1）"/>
      <w:lvlJc w:val="left"/>
      <w:pPr>
        <w:ind w:left="1445" w:hanging="885"/>
      </w:pPr>
      <w:rPr>
        <w:rFonts w:hint="default"/>
      </w:rPr>
    </w:lvl>
    <w:lvl w:ilvl="1" w:tentative="1">
      <w:start w:val="1"/>
      <w:numFmt w:val="lowerLetter"/>
      <w:lvlText w:val="%2)"/>
      <w:lvlJc w:val="left"/>
      <w:pPr>
        <w:ind w:left="1400" w:hanging="420"/>
      </w:pPr>
    </w:lvl>
    <w:lvl w:ilvl="2" w:tentative="1">
      <w:start w:val="1"/>
      <w:numFmt w:val="lowerRoman"/>
      <w:lvlText w:val="%3."/>
      <w:lvlJc w:val="right"/>
      <w:pPr>
        <w:ind w:left="1820" w:hanging="420"/>
      </w:pPr>
    </w:lvl>
    <w:lvl w:ilvl="3" w:tentative="1">
      <w:start w:val="1"/>
      <w:numFmt w:val="decimal"/>
      <w:lvlText w:val="%4."/>
      <w:lvlJc w:val="left"/>
      <w:pPr>
        <w:ind w:left="2240" w:hanging="420"/>
      </w:pPr>
    </w:lvl>
    <w:lvl w:ilvl="4" w:tentative="1">
      <w:start w:val="1"/>
      <w:numFmt w:val="lowerLetter"/>
      <w:lvlText w:val="%5)"/>
      <w:lvlJc w:val="left"/>
      <w:pPr>
        <w:ind w:left="2660" w:hanging="420"/>
      </w:pPr>
    </w:lvl>
    <w:lvl w:ilvl="5" w:tentative="1">
      <w:start w:val="1"/>
      <w:numFmt w:val="lowerRoman"/>
      <w:lvlText w:val="%6."/>
      <w:lvlJc w:val="right"/>
      <w:pPr>
        <w:ind w:left="3080" w:hanging="420"/>
      </w:pPr>
    </w:lvl>
    <w:lvl w:ilvl="6" w:tentative="1">
      <w:start w:val="1"/>
      <w:numFmt w:val="decimal"/>
      <w:lvlText w:val="%7."/>
      <w:lvlJc w:val="left"/>
      <w:pPr>
        <w:ind w:left="3500" w:hanging="420"/>
      </w:pPr>
    </w:lvl>
    <w:lvl w:ilvl="7" w:tentative="1">
      <w:start w:val="1"/>
      <w:numFmt w:val="lowerLetter"/>
      <w:lvlText w:val="%8)"/>
      <w:lvlJc w:val="left"/>
      <w:pPr>
        <w:ind w:left="3920" w:hanging="420"/>
      </w:pPr>
    </w:lvl>
    <w:lvl w:ilvl="8" w:tentative="1">
      <w:start w:val="1"/>
      <w:numFmt w:val="lowerRoman"/>
      <w:lvlText w:val="%9."/>
      <w:lvlJc w:val="right"/>
      <w:pPr>
        <w:ind w:left="4340" w:hanging="420"/>
      </w:pPr>
    </w:lvl>
  </w:abstractNum>
  <w:abstractNum w:abstractNumId="1519632105">
    <w:nsid w:val="5A93BEE9"/>
    <w:multiLevelType w:val="singleLevel"/>
    <w:tmpl w:val="5A93BEE9"/>
    <w:lvl w:ilvl="0" w:tentative="1">
      <w:start w:val="3"/>
      <w:numFmt w:val="chineseCounting"/>
      <w:suff w:val="nothing"/>
      <w:lvlText w:val="%1、"/>
      <w:lvlJc w:val="left"/>
    </w:lvl>
  </w:abstractNum>
  <w:abstractNum w:abstractNumId="1510282472">
    <w:nsid w:val="5A0514E8"/>
    <w:multiLevelType w:val="singleLevel"/>
    <w:tmpl w:val="5A0514E8"/>
    <w:lvl w:ilvl="0" w:tentative="1">
      <w:start w:val="3"/>
      <w:numFmt w:val="decimal"/>
      <w:suff w:val="nothing"/>
      <w:lvlText w:val="%1、"/>
      <w:lvlJc w:val="left"/>
    </w:lvl>
  </w:abstractNum>
  <w:abstractNum w:abstractNumId="1519631603">
    <w:nsid w:val="5A93BCF3"/>
    <w:multiLevelType w:val="singleLevel"/>
    <w:tmpl w:val="5A93BCF3"/>
    <w:lvl w:ilvl="0" w:tentative="1">
      <w:start w:val="2"/>
      <w:numFmt w:val="decimal"/>
      <w:suff w:val="nothing"/>
      <w:lvlText w:val="%1、"/>
      <w:lvlJc w:val="left"/>
    </w:lvl>
  </w:abstractNum>
  <w:abstractNum w:abstractNumId="1450514990">
    <w:nsid w:val="56751A2E"/>
    <w:multiLevelType w:val="multilevel"/>
    <w:tmpl w:val="56751A2E"/>
    <w:lvl w:ilvl="0" w:tentative="1">
      <w:start w:val="1"/>
      <w:numFmt w:val="japaneseCounting"/>
      <w:lvlText w:val="（%1）"/>
      <w:lvlJc w:val="left"/>
      <w:pPr>
        <w:ind w:left="1445" w:hanging="885"/>
      </w:pPr>
      <w:rPr>
        <w:rFonts w:hint="default"/>
      </w:rPr>
    </w:lvl>
    <w:lvl w:ilvl="1" w:tentative="1">
      <w:start w:val="1"/>
      <w:numFmt w:val="lowerLetter"/>
      <w:lvlText w:val="%2)"/>
      <w:lvlJc w:val="left"/>
      <w:pPr>
        <w:ind w:left="1400" w:hanging="420"/>
      </w:pPr>
    </w:lvl>
    <w:lvl w:ilvl="2" w:tentative="1">
      <w:start w:val="1"/>
      <w:numFmt w:val="lowerRoman"/>
      <w:lvlText w:val="%3."/>
      <w:lvlJc w:val="right"/>
      <w:pPr>
        <w:ind w:left="1820" w:hanging="420"/>
      </w:pPr>
    </w:lvl>
    <w:lvl w:ilvl="3" w:tentative="1">
      <w:start w:val="1"/>
      <w:numFmt w:val="decimal"/>
      <w:lvlText w:val="%4."/>
      <w:lvlJc w:val="left"/>
      <w:pPr>
        <w:ind w:left="2240" w:hanging="420"/>
      </w:pPr>
    </w:lvl>
    <w:lvl w:ilvl="4" w:tentative="1">
      <w:start w:val="1"/>
      <w:numFmt w:val="lowerLetter"/>
      <w:lvlText w:val="%5)"/>
      <w:lvlJc w:val="left"/>
      <w:pPr>
        <w:ind w:left="2660" w:hanging="420"/>
      </w:pPr>
    </w:lvl>
    <w:lvl w:ilvl="5" w:tentative="1">
      <w:start w:val="1"/>
      <w:numFmt w:val="lowerRoman"/>
      <w:lvlText w:val="%6."/>
      <w:lvlJc w:val="right"/>
      <w:pPr>
        <w:ind w:left="3080" w:hanging="420"/>
      </w:pPr>
    </w:lvl>
    <w:lvl w:ilvl="6" w:tentative="1">
      <w:start w:val="1"/>
      <w:numFmt w:val="decimal"/>
      <w:lvlText w:val="%7."/>
      <w:lvlJc w:val="left"/>
      <w:pPr>
        <w:ind w:left="3500" w:hanging="420"/>
      </w:pPr>
    </w:lvl>
    <w:lvl w:ilvl="7" w:tentative="1">
      <w:start w:val="1"/>
      <w:numFmt w:val="lowerLetter"/>
      <w:lvlText w:val="%8)"/>
      <w:lvlJc w:val="left"/>
      <w:pPr>
        <w:ind w:left="3920" w:hanging="420"/>
      </w:pPr>
    </w:lvl>
    <w:lvl w:ilvl="8" w:tentative="1">
      <w:start w:val="1"/>
      <w:numFmt w:val="lowerRoman"/>
      <w:lvlText w:val="%9."/>
      <w:lvlJc w:val="right"/>
      <w:pPr>
        <w:ind w:left="4340" w:hanging="420"/>
      </w:pPr>
    </w:lvl>
  </w:abstractNum>
  <w:num w:numId="1">
    <w:abstractNumId w:val="1519631603"/>
  </w:num>
  <w:num w:numId="2">
    <w:abstractNumId w:val="1510282472"/>
  </w:num>
  <w:num w:numId="3">
    <w:abstractNumId w:val="1519632105"/>
  </w:num>
  <w:num w:numId="4">
    <w:abstractNumId w:val="876160944"/>
  </w:num>
  <w:num w:numId="5">
    <w:abstractNumId w:val="145051499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hyphenationZone w:val="360"/>
  <w:evenAndOddHeaders w:val="1"/>
  <w:drawingGridHorizontalSpacing w:val="105"/>
  <w:drawingGridVerticalSpacing w:val="162"/>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4D72"/>
    <w:rsid w:val="00046F1A"/>
    <w:rsid w:val="00053727"/>
    <w:rsid w:val="0006228C"/>
    <w:rsid w:val="000C30A2"/>
    <w:rsid w:val="000C357B"/>
    <w:rsid w:val="0014070F"/>
    <w:rsid w:val="00146782"/>
    <w:rsid w:val="00171C78"/>
    <w:rsid w:val="001A062D"/>
    <w:rsid w:val="001A497F"/>
    <w:rsid w:val="00217CEB"/>
    <w:rsid w:val="00225ABB"/>
    <w:rsid w:val="00246EDC"/>
    <w:rsid w:val="00264878"/>
    <w:rsid w:val="00273571"/>
    <w:rsid w:val="0028605C"/>
    <w:rsid w:val="00287E56"/>
    <w:rsid w:val="002A6B41"/>
    <w:rsid w:val="002B2E3E"/>
    <w:rsid w:val="002C56D5"/>
    <w:rsid w:val="002F56E0"/>
    <w:rsid w:val="0035166B"/>
    <w:rsid w:val="00385CE2"/>
    <w:rsid w:val="003D1308"/>
    <w:rsid w:val="003F1CAA"/>
    <w:rsid w:val="003F7B6D"/>
    <w:rsid w:val="004078D3"/>
    <w:rsid w:val="00420136"/>
    <w:rsid w:val="00475A94"/>
    <w:rsid w:val="004B63EF"/>
    <w:rsid w:val="004C5495"/>
    <w:rsid w:val="0052192A"/>
    <w:rsid w:val="0059418A"/>
    <w:rsid w:val="005A6DD1"/>
    <w:rsid w:val="005E4365"/>
    <w:rsid w:val="00605C61"/>
    <w:rsid w:val="00681FDA"/>
    <w:rsid w:val="00682EC4"/>
    <w:rsid w:val="006913D3"/>
    <w:rsid w:val="00732F66"/>
    <w:rsid w:val="00756C87"/>
    <w:rsid w:val="007B11AD"/>
    <w:rsid w:val="007E123A"/>
    <w:rsid w:val="00806A3F"/>
    <w:rsid w:val="008223F1"/>
    <w:rsid w:val="008446D4"/>
    <w:rsid w:val="00875F3A"/>
    <w:rsid w:val="00907198"/>
    <w:rsid w:val="009323EE"/>
    <w:rsid w:val="00944E89"/>
    <w:rsid w:val="00984E34"/>
    <w:rsid w:val="00986708"/>
    <w:rsid w:val="009B1ED0"/>
    <w:rsid w:val="009B2546"/>
    <w:rsid w:val="009C1A9C"/>
    <w:rsid w:val="009F6858"/>
    <w:rsid w:val="00A33458"/>
    <w:rsid w:val="00A41C02"/>
    <w:rsid w:val="00A51D75"/>
    <w:rsid w:val="00A6548E"/>
    <w:rsid w:val="00A7518F"/>
    <w:rsid w:val="00AB2759"/>
    <w:rsid w:val="00AB4703"/>
    <w:rsid w:val="00AC647D"/>
    <w:rsid w:val="00AD46FE"/>
    <w:rsid w:val="00AE02FE"/>
    <w:rsid w:val="00AE24A5"/>
    <w:rsid w:val="00B829C8"/>
    <w:rsid w:val="00B87390"/>
    <w:rsid w:val="00BE7F13"/>
    <w:rsid w:val="00C6129F"/>
    <w:rsid w:val="00CF0080"/>
    <w:rsid w:val="00D00840"/>
    <w:rsid w:val="00D4661A"/>
    <w:rsid w:val="00D900E8"/>
    <w:rsid w:val="00D92AB7"/>
    <w:rsid w:val="00DC1FA9"/>
    <w:rsid w:val="00DD3F43"/>
    <w:rsid w:val="00DD4681"/>
    <w:rsid w:val="00DE2F74"/>
    <w:rsid w:val="00E2179F"/>
    <w:rsid w:val="00E21CAC"/>
    <w:rsid w:val="00E6170A"/>
    <w:rsid w:val="00E65855"/>
    <w:rsid w:val="00EA72B2"/>
    <w:rsid w:val="00EB06A0"/>
    <w:rsid w:val="00EC72DD"/>
    <w:rsid w:val="00EE5D4C"/>
    <w:rsid w:val="00F203EC"/>
    <w:rsid w:val="00F24FBA"/>
    <w:rsid w:val="00F41A06"/>
    <w:rsid w:val="00F724B2"/>
    <w:rsid w:val="00FD7FA1"/>
    <w:rsid w:val="00FE02FB"/>
    <w:rsid w:val="01C523AF"/>
    <w:rsid w:val="02AF526E"/>
    <w:rsid w:val="04A22F48"/>
    <w:rsid w:val="05595B8A"/>
    <w:rsid w:val="07AD7D80"/>
    <w:rsid w:val="08921086"/>
    <w:rsid w:val="139A5A46"/>
    <w:rsid w:val="15F06F0C"/>
    <w:rsid w:val="185A20F4"/>
    <w:rsid w:val="1A382BFE"/>
    <w:rsid w:val="1FBC54B0"/>
    <w:rsid w:val="27355BB1"/>
    <w:rsid w:val="288C6222"/>
    <w:rsid w:val="290822BF"/>
    <w:rsid w:val="2B7114F8"/>
    <w:rsid w:val="2E841B1B"/>
    <w:rsid w:val="31ED3CDB"/>
    <w:rsid w:val="36C551A1"/>
    <w:rsid w:val="36D66CF5"/>
    <w:rsid w:val="3ABF0FED"/>
    <w:rsid w:val="3C6D6669"/>
    <w:rsid w:val="3D175A0D"/>
    <w:rsid w:val="3EB022AB"/>
    <w:rsid w:val="455F03D4"/>
    <w:rsid w:val="499E014B"/>
    <w:rsid w:val="50B066B3"/>
    <w:rsid w:val="52E347D5"/>
    <w:rsid w:val="57E5100B"/>
    <w:rsid w:val="590D6796"/>
    <w:rsid w:val="59D1006E"/>
    <w:rsid w:val="5B2D1B73"/>
    <w:rsid w:val="60D848BB"/>
    <w:rsid w:val="6543793C"/>
    <w:rsid w:val="68242EB3"/>
    <w:rsid w:val="6D312876"/>
    <w:rsid w:val="6F762CAF"/>
    <w:rsid w:val="72CF24C8"/>
    <w:rsid w:val="762C41B3"/>
    <w:rsid w:val="766A6216"/>
    <w:rsid w:val="7D5F4EE4"/>
    <w:rsid w:val="7EA061B7"/>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39" w:semiHidden="0" w:name="toc 1"/>
    <w:lsdException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8">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11"/>
    <w:uiPriority w:val="0"/>
    <w:rPr>
      <w:sz w:val="18"/>
      <w:szCs w:val="18"/>
    </w:rPr>
  </w:style>
  <w:style w:type="paragraph" w:styleId="3">
    <w:name w:val="footer"/>
    <w:basedOn w:val="1"/>
    <w:link w:val="10"/>
    <w:uiPriority w:val="99"/>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toc 1"/>
    <w:basedOn w:val="1"/>
    <w:next w:val="1"/>
    <w:uiPriority w:val="39"/>
  </w:style>
  <w:style w:type="paragraph" w:styleId="6">
    <w:name w:val="toc 2"/>
    <w:basedOn w:val="1"/>
    <w:next w:val="1"/>
    <w:semiHidden/>
    <w:uiPriority w:val="0"/>
    <w:pPr>
      <w:ind w:left="420" w:leftChars="200"/>
    </w:pPr>
  </w:style>
  <w:style w:type="table" w:styleId="9">
    <w:name w:val="Table Grid"/>
    <w:basedOn w:val="8"/>
    <w:unhideWhenUsed/>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页脚 Char"/>
    <w:basedOn w:val="7"/>
    <w:link w:val="3"/>
    <w:uiPriority w:val="99"/>
    <w:rPr>
      <w:kern w:val="2"/>
      <w:sz w:val="18"/>
      <w:szCs w:val="24"/>
    </w:rPr>
  </w:style>
  <w:style w:type="character" w:customStyle="1" w:styleId="11">
    <w:name w:val="批注框文本 Char"/>
    <w:basedOn w:val="7"/>
    <w:link w:val="2"/>
    <w:uiPriority w:val="0"/>
    <w:rPr>
      <w:kern w:val="2"/>
      <w:sz w:val="18"/>
      <w:szCs w:val="18"/>
    </w:rPr>
  </w:style>
  <w:style w:type="paragraph" w:customStyle="1" w:styleId="12">
    <w:name w:val="Normal_3"/>
    <w:qFormat/>
    <w:uiPriority w:val="0"/>
    <w:pPr>
      <w:spacing w:before="120" w:after="240"/>
      <w:jc w:val="both"/>
    </w:pPr>
    <w:rPr>
      <w:rFonts w:ascii="Calibri" w:hAnsi="Calibri" w:eastAsia="Times New Roman" w:cs="Times New Roman"/>
      <w:sz w:val="22"/>
      <w:szCs w:val="22"/>
      <w:lang w:val="en-US" w:eastAsia="en-US" w:bidi="ar-SA"/>
    </w:rPr>
  </w:style>
  <w:style w:type="paragraph" w:customStyle="1" w:styleId="13">
    <w:name w:val="Normal_2"/>
    <w:qFormat/>
    <w:uiPriority w:val="0"/>
    <w:pPr>
      <w:spacing w:before="120" w:after="240"/>
      <w:jc w:val="both"/>
    </w:pPr>
    <w:rPr>
      <w:rFonts w:ascii="Calibri" w:hAnsi="Calibri" w:eastAsia="Times New Roman" w:cs="Times New Roman"/>
      <w:sz w:val="22"/>
      <w:szCs w:val="22"/>
      <w:lang w:val="en-US" w:eastAsia="en-US" w:bidi="ar-SA"/>
    </w:rPr>
  </w:style>
  <w:style w:type="paragraph" w:customStyle="1" w:styleId="14">
    <w:name w:val="Normal_4"/>
    <w:uiPriority w:val="0"/>
    <w:pPr>
      <w:spacing w:before="120" w:after="240"/>
      <w:jc w:val="both"/>
    </w:pPr>
    <w:rPr>
      <w:rFonts w:ascii="Calibri" w:hAnsi="Calibri" w:eastAsia="Times New Roman" w:cs="Times New Roman"/>
      <w:sz w:val="22"/>
      <w:szCs w:val="2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7</Pages>
  <Words>461</Words>
  <Characters>2633</Characters>
  <Lines>21</Lines>
  <Paragraphs>6</Paragraphs>
  <TotalTime>0</TotalTime>
  <ScaleCrop>false</ScaleCrop>
  <LinksUpToDate>false</LinksUpToDate>
  <CharactersWithSpaces>3088</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2016-02-22T05:50:00Z</dcterms:created>
  <dc:creator>User</dc:creator>
  <cp:lastModifiedBy>admin</cp:lastModifiedBy>
  <cp:lastPrinted>2018-02-27T02:21:00Z</cp:lastPrinted>
  <dcterms:modified xsi:type="dcterms:W3CDTF">2021-07-06T11:28:37Z</dcterms:modified>
  <dc:title>323</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y fmtid="{D5CDD505-2E9C-101B-9397-08002B2CF9AE}" pid="3" name="ICV">
    <vt:lpwstr>18460803937048B8BC00288EDDF33453</vt:lpwstr>
  </property>
</Properties>
</file>