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西柏坡纪念馆</w:t>
      </w:r>
    </w:p>
    <w:p>
      <w:pPr>
        <w:jc w:val="center"/>
        <w:rPr>
          <w:rFonts w:hint="eastAsia" w:ascii="宋体" w:hAnsi="宋体" w:eastAsia="宋体" w:cs="宋体"/>
          <w:b/>
          <w:bCs/>
          <w:sz w:val="44"/>
          <w:szCs w:val="44"/>
        </w:rPr>
      </w:pPr>
      <w:r>
        <w:rPr>
          <w:rFonts w:hint="eastAsia" w:ascii="宋体" w:hAnsi="宋体" w:eastAsia="宋体" w:cs="宋体"/>
          <w:b/>
          <w:bCs/>
          <w:sz w:val="44"/>
          <w:szCs w:val="44"/>
          <w:lang w:eastAsia="zh-CN"/>
        </w:rPr>
        <w:t>2018</w:t>
      </w:r>
      <w:r>
        <w:rPr>
          <w:rFonts w:hint="eastAsia" w:ascii="宋体" w:hAnsi="宋体" w:eastAsia="宋体" w:cs="宋体"/>
          <w:b/>
          <w:bCs/>
          <w:sz w:val="44"/>
          <w:szCs w:val="44"/>
        </w:rPr>
        <w:t>年部门预算信息公开目录</w:t>
      </w:r>
    </w:p>
    <w:p>
      <w:p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一、</w:t>
      </w:r>
      <w:r>
        <w:rPr>
          <w:rFonts w:hint="eastAsia" w:ascii="仿宋_GB2312" w:hAnsi="仿宋_GB2312" w:eastAsia="仿宋_GB2312" w:cs="仿宋_GB2312"/>
          <w:sz w:val="30"/>
          <w:szCs w:val="30"/>
          <w:lang w:eastAsia="zh-CN"/>
        </w:rPr>
        <w:t>2018</w:t>
      </w:r>
      <w:r>
        <w:rPr>
          <w:rFonts w:hint="eastAsia" w:ascii="仿宋_GB2312" w:hAnsi="仿宋_GB2312" w:eastAsia="仿宋_GB2312" w:cs="仿宋_GB2312"/>
          <w:sz w:val="30"/>
          <w:szCs w:val="30"/>
        </w:rPr>
        <w:t>年部门预算公开表</w:t>
      </w:r>
    </w:p>
    <w:p>
      <w:pPr>
        <w:numPr>
          <w:ilvl w:val="0"/>
          <w:numId w:val="1"/>
        </w:num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部门预算收支总表</w:t>
      </w:r>
    </w:p>
    <w:p>
      <w:pPr>
        <w:numPr>
          <w:ilvl w:val="0"/>
          <w:numId w:val="1"/>
        </w:num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部门预算收入总表</w:t>
      </w:r>
    </w:p>
    <w:p>
      <w:pPr>
        <w:numPr>
          <w:ilvl w:val="0"/>
          <w:numId w:val="1"/>
        </w:num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部门预算支出总表</w:t>
      </w:r>
    </w:p>
    <w:p>
      <w:pPr>
        <w:numPr>
          <w:ilvl w:val="0"/>
          <w:numId w:val="1"/>
        </w:num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部门预算财政拨款收支总表</w:t>
      </w:r>
    </w:p>
    <w:p>
      <w:pPr>
        <w:numPr>
          <w:ilvl w:val="0"/>
          <w:numId w:val="1"/>
        </w:num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部门预算一般公共预算财政拨款支出表</w:t>
      </w:r>
    </w:p>
    <w:p>
      <w:pPr>
        <w:numPr>
          <w:ilvl w:val="0"/>
          <w:numId w:val="1"/>
        </w:num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部门预算一般公共预算财政拨款基本支出表</w:t>
      </w:r>
    </w:p>
    <w:p>
      <w:pPr>
        <w:numPr>
          <w:ilvl w:val="0"/>
          <w:numId w:val="1"/>
        </w:num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部门预算政府基金预算财政拨款支出表</w:t>
      </w:r>
    </w:p>
    <w:p>
      <w:pPr>
        <w:numPr>
          <w:ilvl w:val="0"/>
          <w:numId w:val="1"/>
        </w:num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部门预算国有资本经营预算财政拨款支出表</w:t>
      </w:r>
    </w:p>
    <w:p>
      <w:pPr>
        <w:numPr>
          <w:ilvl w:val="0"/>
          <w:numId w:val="1"/>
        </w:num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部门预算财政拨款“三公”经费支出表</w:t>
      </w:r>
    </w:p>
    <w:p>
      <w:p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二、</w:t>
      </w:r>
      <w:r>
        <w:rPr>
          <w:rFonts w:hint="eastAsia" w:ascii="仿宋_GB2312" w:hAnsi="仿宋_GB2312" w:eastAsia="仿宋_GB2312" w:cs="仿宋_GB2312"/>
          <w:sz w:val="30"/>
          <w:szCs w:val="30"/>
          <w:lang w:eastAsia="zh-CN"/>
        </w:rPr>
        <w:t>2018</w:t>
      </w:r>
      <w:r>
        <w:rPr>
          <w:rFonts w:hint="eastAsia" w:ascii="仿宋_GB2312" w:hAnsi="仿宋_GB2312" w:eastAsia="仿宋_GB2312" w:cs="仿宋_GB2312"/>
          <w:sz w:val="30"/>
          <w:szCs w:val="30"/>
        </w:rPr>
        <w:t>年预算说明</w:t>
      </w:r>
    </w:p>
    <w:p>
      <w:pPr>
        <w:numPr>
          <w:ilvl w:val="0"/>
          <w:numId w:val="2"/>
        </w:num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部门职责及机构设置情况</w:t>
      </w:r>
    </w:p>
    <w:p>
      <w:pPr>
        <w:ind w:firstLine="64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2、部门预算安排的总体情况</w:t>
      </w:r>
    </w:p>
    <w:p>
      <w:p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3、机关运行经费安排情况</w:t>
      </w:r>
    </w:p>
    <w:p>
      <w:pPr>
        <w:autoSpaceDE w:val="0"/>
        <w:autoSpaceDN w:val="0"/>
        <w:adjustRightInd w:val="0"/>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4、财政拨款“三公”经费预算情况及增减变化原因</w:t>
      </w:r>
    </w:p>
    <w:p>
      <w:pPr>
        <w:autoSpaceDE w:val="0"/>
        <w:autoSpaceDN w:val="0"/>
        <w:adjustRightInd w:val="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 xml:space="preserve">    5、绩效预算信息</w:t>
      </w:r>
    </w:p>
    <w:p>
      <w:pPr>
        <w:autoSpaceDE w:val="0"/>
        <w:autoSpaceDN w:val="0"/>
        <w:adjustRightInd w:val="0"/>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6、政府采购预算情况</w:t>
      </w:r>
    </w:p>
    <w:p>
      <w:pPr>
        <w:autoSpaceDE w:val="0"/>
        <w:autoSpaceDN w:val="0"/>
        <w:adjustRightInd w:val="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 xml:space="preserve">    7、国有资产信息</w:t>
      </w:r>
    </w:p>
    <w:p>
      <w:pPr>
        <w:autoSpaceDE w:val="0"/>
        <w:autoSpaceDN w:val="0"/>
        <w:adjustRightInd w:val="0"/>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8、名词解释</w:t>
      </w:r>
    </w:p>
    <w:p>
      <w:pPr>
        <w:autoSpaceDE w:val="0"/>
        <w:autoSpaceDN w:val="0"/>
        <w:adjustRightInd w:val="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 xml:space="preserve">    9、其他需要说明的事项</w:t>
      </w:r>
    </w:p>
    <w:p>
      <w:pPr>
        <w:jc w:val="center"/>
        <w:rPr>
          <w:rFonts w:hint="eastAsia"/>
        </w:rPr>
      </w:pPr>
    </w:p>
    <w:p>
      <w:pPr>
        <w:spacing w:line="536" w:lineRule="exact"/>
        <w:ind w:right="-879" w:firstLine="2640" w:firstLineChars="600"/>
        <w:rPr>
          <w:rFonts w:hint="eastAsia" w:ascii="宋体" w:hAnsi="宋体"/>
          <w:sz w:val="44"/>
        </w:rPr>
      </w:pPr>
    </w:p>
    <w:p>
      <w:pPr>
        <w:spacing w:line="536" w:lineRule="exact"/>
        <w:ind w:right="-879" w:firstLine="2160" w:firstLineChars="600"/>
        <w:rPr>
          <w:rFonts w:hint="eastAsia" w:ascii="宋体" w:hAnsi="宋体" w:eastAsia="宋体" w:cs="宋体"/>
          <w:sz w:val="36"/>
          <w:szCs w:val="36"/>
        </w:rPr>
      </w:pPr>
    </w:p>
    <w:p>
      <w:pPr>
        <w:spacing w:line="536" w:lineRule="exact"/>
        <w:ind w:right="-879"/>
        <w:rPr>
          <w:rFonts w:hint="eastAsia" w:ascii="宋体" w:hAnsi="宋体" w:eastAsia="宋体" w:cs="宋体"/>
          <w:b/>
          <w:bCs/>
          <w:sz w:val="36"/>
          <w:szCs w:val="36"/>
        </w:rPr>
      </w:pPr>
      <w:r>
        <w:rPr>
          <w:rFonts w:hint="eastAsia" w:ascii="宋体" w:hAnsi="宋体" w:eastAsia="宋体" w:cs="宋体"/>
          <w:b/>
          <w:bCs/>
          <w:sz w:val="36"/>
          <w:szCs w:val="36"/>
        </w:rPr>
        <w:t>一、</w:t>
      </w:r>
      <w:r>
        <w:rPr>
          <w:rFonts w:hint="eastAsia" w:ascii="宋体" w:hAnsi="宋体" w:eastAsia="宋体" w:cs="宋体"/>
          <w:b/>
          <w:bCs/>
          <w:sz w:val="36"/>
          <w:szCs w:val="36"/>
          <w:lang w:eastAsia="zh-CN"/>
        </w:rPr>
        <w:t>2018</w:t>
      </w:r>
      <w:r>
        <w:rPr>
          <w:rFonts w:hint="eastAsia" w:ascii="宋体" w:hAnsi="宋体" w:eastAsia="宋体" w:cs="宋体"/>
          <w:b/>
          <w:bCs/>
          <w:sz w:val="36"/>
          <w:szCs w:val="36"/>
        </w:rPr>
        <w:t>年部门预算公开表</w:t>
      </w:r>
    </w:p>
    <w:tbl>
      <w:tblPr>
        <w:tblStyle w:val="5"/>
        <w:tblW w:w="1421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474"/>
        <w:gridCol w:w="3"/>
        <w:gridCol w:w="993"/>
        <w:gridCol w:w="1784"/>
        <w:gridCol w:w="625"/>
        <w:gridCol w:w="1233"/>
        <w:gridCol w:w="993"/>
        <w:gridCol w:w="145"/>
        <w:gridCol w:w="1219"/>
        <w:gridCol w:w="666"/>
        <w:gridCol w:w="246"/>
        <w:gridCol w:w="907"/>
        <w:gridCol w:w="341"/>
        <w:gridCol w:w="1114"/>
        <w:gridCol w:w="557"/>
        <w:gridCol w:w="478"/>
        <w:gridCol w:w="660"/>
        <w:gridCol w:w="285"/>
        <w:gridCol w:w="720"/>
        <w:gridCol w:w="241"/>
        <w:gridCol w:w="5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gridAfter w:val="4"/>
          <w:wAfter w:w="1780" w:type="dxa"/>
          <w:trHeight w:val="525" w:hRule="atLeast"/>
        </w:trPr>
        <w:tc>
          <w:tcPr>
            <w:tcW w:w="12438" w:type="dxa"/>
            <w:gridSpan w:val="17"/>
            <w:shd w:val="clear" w:color="auto" w:fill="auto"/>
            <w:vAlign w:val="center"/>
          </w:tcPr>
          <w:p>
            <w:pPr>
              <w:keepNext w:val="0"/>
              <w:keepLines w:val="0"/>
              <w:widowControl/>
              <w:suppressLineNumbers w:val="0"/>
              <w:ind w:firstLine="321" w:firstLineChars="100"/>
              <w:jc w:val="both"/>
              <w:textAlignment w:val="center"/>
              <w:rPr>
                <w:rFonts w:hint="eastAsia" w:ascii="宋体" w:hAnsi="宋体" w:eastAsia="宋体" w:cs="宋体"/>
                <w:b/>
                <w:i w:val="0"/>
                <w:color w:val="000000"/>
                <w:sz w:val="43"/>
                <w:szCs w:val="43"/>
                <w:u w:val="none"/>
              </w:rPr>
            </w:pPr>
            <w:r>
              <w:rPr>
                <w:rFonts w:hint="eastAsia" w:ascii="宋体" w:hAnsi="宋体" w:cs="宋体"/>
                <w:b/>
                <w:i w:val="0"/>
                <w:color w:val="000000"/>
                <w:kern w:val="0"/>
                <w:sz w:val="32"/>
                <w:szCs w:val="32"/>
                <w:u w:val="none"/>
                <w:lang w:val="en-US" w:eastAsia="zh-CN" w:bidi="ar"/>
              </w:rPr>
              <w:t>1、</w:t>
            </w:r>
            <w:r>
              <w:rPr>
                <w:rFonts w:hint="eastAsia" w:ascii="宋体" w:hAnsi="宋体" w:eastAsia="宋体" w:cs="宋体"/>
                <w:b/>
                <w:i w:val="0"/>
                <w:color w:val="000000"/>
                <w:kern w:val="0"/>
                <w:sz w:val="32"/>
                <w:szCs w:val="32"/>
                <w:u w:val="none"/>
                <w:lang w:val="en-US" w:eastAsia="zh-CN" w:bidi="ar"/>
              </w:rPr>
              <w:t>部门预算收支总表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6105" w:type="dxa"/>
            <w:gridSpan w:val="7"/>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Style w:val="8"/>
                <w:rFonts w:hint="eastAsia" w:ascii="宋体" w:hAnsi="宋体" w:eastAsia="宋体" w:cs="宋体"/>
                <w:sz w:val="21"/>
                <w:szCs w:val="21"/>
                <w:lang w:val="en-US" w:eastAsia="zh-CN" w:bidi="ar"/>
              </w:rPr>
              <w:t>部门编码及名称：</w:t>
            </w:r>
            <w:r>
              <w:rPr>
                <w:rStyle w:val="9"/>
                <w:rFonts w:hint="eastAsia" w:ascii="宋体" w:hAnsi="宋体" w:eastAsia="宋体" w:cs="宋体"/>
                <w:sz w:val="21"/>
                <w:szCs w:val="21"/>
                <w:lang w:val="en-US" w:eastAsia="zh-CN" w:bidi="ar"/>
              </w:rPr>
              <w:t>[533]</w:t>
            </w:r>
            <w:r>
              <w:rPr>
                <w:rStyle w:val="8"/>
                <w:rFonts w:hint="eastAsia" w:ascii="宋体" w:hAnsi="宋体" w:eastAsia="宋体" w:cs="宋体"/>
                <w:sz w:val="21"/>
                <w:szCs w:val="21"/>
                <w:lang w:val="en-US" w:eastAsia="zh-CN" w:bidi="ar"/>
              </w:rPr>
              <w:t>西柏坡纪念馆</w:t>
            </w:r>
          </w:p>
        </w:tc>
        <w:tc>
          <w:tcPr>
            <w:tcW w:w="3183" w:type="dxa"/>
            <w:gridSpan w:val="5"/>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Style w:val="8"/>
                <w:rFonts w:hint="eastAsia" w:ascii="宋体" w:hAnsi="宋体" w:eastAsia="宋体" w:cs="宋体"/>
                <w:sz w:val="21"/>
                <w:szCs w:val="21"/>
                <w:lang w:val="en-US" w:eastAsia="zh-CN" w:bidi="ar"/>
              </w:rPr>
              <w:t>预算年度：</w:t>
            </w:r>
            <w:r>
              <w:rPr>
                <w:rStyle w:val="9"/>
                <w:rFonts w:hint="eastAsia" w:ascii="宋体" w:hAnsi="宋体" w:eastAsia="宋体" w:cs="宋体"/>
                <w:sz w:val="21"/>
                <w:szCs w:val="21"/>
                <w:lang w:val="en-US" w:eastAsia="zh-CN" w:bidi="ar"/>
              </w:rPr>
              <w:t>2018</w:t>
            </w:r>
          </w:p>
        </w:tc>
        <w:tc>
          <w:tcPr>
            <w:tcW w:w="3150" w:type="dxa"/>
            <w:gridSpan w:val="5"/>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1"/>
                <w:szCs w:val="21"/>
                <w:u w:val="none"/>
              </w:rPr>
            </w:pPr>
            <w:r>
              <w:rPr>
                <w:rStyle w:val="8"/>
                <w:rFonts w:hint="eastAsia" w:ascii="宋体" w:hAnsi="宋体" w:eastAsia="宋体" w:cs="宋体"/>
                <w:sz w:val="21"/>
                <w:szCs w:val="21"/>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8"/>
                <w:rFonts w:hint="eastAsia" w:ascii="宋体" w:hAnsi="宋体" w:eastAsia="宋体" w:cs="宋体"/>
                <w:sz w:val="21"/>
                <w:szCs w:val="21"/>
                <w:lang w:val="en-US" w:eastAsia="zh-CN" w:bidi="ar"/>
              </w:rPr>
              <w:t>序号</w:t>
            </w:r>
          </w:p>
        </w:tc>
        <w:tc>
          <w:tcPr>
            <w:tcW w:w="56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8"/>
                <w:rFonts w:hint="eastAsia" w:ascii="宋体" w:hAnsi="宋体" w:eastAsia="宋体" w:cs="宋体"/>
                <w:sz w:val="21"/>
                <w:szCs w:val="21"/>
                <w:lang w:val="en-US" w:eastAsia="zh-CN" w:bidi="ar"/>
              </w:rPr>
              <w:t>收入</w:t>
            </w:r>
          </w:p>
        </w:tc>
        <w:tc>
          <w:tcPr>
            <w:tcW w:w="6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8"/>
                <w:rFonts w:hint="eastAsia" w:ascii="宋体" w:hAnsi="宋体" w:eastAsia="宋体" w:cs="宋体"/>
                <w:sz w:val="21"/>
                <w:szCs w:val="21"/>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8"/>
                <w:rFonts w:hint="eastAsia" w:ascii="宋体" w:hAnsi="宋体" w:eastAsia="宋体" w:cs="宋体"/>
                <w:sz w:val="21"/>
                <w:szCs w:val="21"/>
                <w:lang w:val="en-US" w:eastAsia="zh-CN" w:bidi="ar"/>
              </w:rPr>
              <w:t>项</w:t>
            </w:r>
            <w:r>
              <w:rPr>
                <w:rStyle w:val="9"/>
                <w:rFonts w:hint="eastAsia" w:ascii="宋体" w:hAnsi="宋体" w:eastAsia="宋体" w:cs="宋体"/>
                <w:sz w:val="21"/>
                <w:szCs w:val="21"/>
                <w:lang w:val="en-US" w:eastAsia="zh-CN" w:bidi="ar"/>
              </w:rPr>
              <w:t xml:space="preserve">    </w:t>
            </w:r>
            <w:r>
              <w:rPr>
                <w:rStyle w:val="8"/>
                <w:rFonts w:hint="eastAsia" w:ascii="宋体" w:hAnsi="宋体" w:eastAsia="宋体" w:cs="宋体"/>
                <w:sz w:val="21"/>
                <w:szCs w:val="21"/>
                <w:lang w:val="en-US" w:eastAsia="zh-CN" w:bidi="ar"/>
              </w:rPr>
              <w:t>目</w:t>
            </w: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8"/>
                <w:rFonts w:hint="eastAsia" w:ascii="宋体" w:hAnsi="宋体" w:eastAsia="宋体" w:cs="宋体"/>
                <w:sz w:val="21"/>
                <w:szCs w:val="21"/>
                <w:lang w:val="en-US" w:eastAsia="zh-CN" w:bidi="ar"/>
              </w:rPr>
              <w:t>预算数</w:t>
            </w: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8"/>
                <w:rFonts w:hint="eastAsia" w:ascii="宋体" w:hAnsi="宋体" w:eastAsia="宋体" w:cs="宋体"/>
                <w:sz w:val="21"/>
                <w:szCs w:val="21"/>
                <w:lang w:val="en-US" w:eastAsia="zh-CN" w:bidi="ar"/>
              </w:rPr>
              <w:t>项</w:t>
            </w:r>
            <w:r>
              <w:rPr>
                <w:rStyle w:val="9"/>
                <w:rFonts w:hint="eastAsia" w:ascii="宋体" w:hAnsi="宋体" w:eastAsia="宋体" w:cs="宋体"/>
                <w:sz w:val="21"/>
                <w:szCs w:val="21"/>
                <w:lang w:val="en-US" w:eastAsia="zh-CN" w:bidi="ar"/>
              </w:rPr>
              <w:t xml:space="preserve">    </w:t>
            </w:r>
            <w:r>
              <w:rPr>
                <w:rStyle w:val="8"/>
                <w:rFonts w:hint="eastAsia" w:ascii="宋体" w:hAnsi="宋体" w:eastAsia="宋体" w:cs="宋体"/>
                <w:sz w:val="21"/>
                <w:szCs w:val="21"/>
                <w:lang w:val="en-US" w:eastAsia="zh-CN" w:bidi="ar"/>
              </w:rPr>
              <w:t>目</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8"/>
                <w:rFonts w:hint="eastAsia" w:ascii="宋体" w:hAnsi="宋体" w:eastAsia="宋体" w:cs="宋体"/>
                <w:sz w:val="21"/>
                <w:szCs w:val="21"/>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8"/>
                <w:rFonts w:hint="eastAsia" w:ascii="宋体" w:hAnsi="宋体" w:eastAsia="宋体" w:cs="宋体"/>
                <w:sz w:val="21"/>
                <w:szCs w:val="21"/>
                <w:lang w:val="en-US" w:eastAsia="zh-CN" w:bidi="ar"/>
              </w:rPr>
              <w:t>栏次</w:t>
            </w:r>
          </w:p>
        </w:tc>
        <w:tc>
          <w:tcPr>
            <w:tcW w:w="2777"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1</w:t>
            </w:r>
          </w:p>
        </w:tc>
        <w:tc>
          <w:tcPr>
            <w:tcW w:w="2851"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2</w:t>
            </w:r>
          </w:p>
        </w:tc>
        <w:tc>
          <w:tcPr>
            <w:tcW w:w="3183"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3</w:t>
            </w:r>
          </w:p>
        </w:tc>
        <w:tc>
          <w:tcPr>
            <w:tcW w:w="3150" w:type="dxa"/>
            <w:gridSpan w:val="5"/>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一、财政拨款收入</w:t>
            </w: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一、一般公共服务支出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二、上级拨款收入</w:t>
            </w: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二、外交支出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三、事业收入</w:t>
            </w: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三、国防支出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w:t>
            </w:r>
            <w:r>
              <w:rPr>
                <w:rStyle w:val="10"/>
                <w:rFonts w:hint="eastAsia" w:ascii="宋体" w:hAnsi="宋体" w:eastAsia="宋体" w:cs="宋体"/>
                <w:sz w:val="21"/>
                <w:szCs w:val="21"/>
                <w:lang w:val="en-US" w:eastAsia="zh-CN" w:bidi="ar"/>
              </w:rPr>
              <w:t>其中：财政专户收入</w:t>
            </w: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四、公共安全支出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5</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四、经营收入</w:t>
            </w: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五、教育支出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6</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五、附属单位上缴收入</w:t>
            </w: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六、科学技术支出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六、其他收入</w:t>
            </w: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七、文化体育与传媒支出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8</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八、社会保障和就业支出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9</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九、医疗卫生与计划生育支出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10</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十、节能环保支出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11</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十一、城乡社区支出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12</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十二、农林水支出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13</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十三、交通运输支出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14</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十四、资源勘探信息等支出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15</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十五、商业服务业等支出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16</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十六、金融支出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17</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十七、援助其他地区支出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18</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十八、国土海洋气候等支出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19</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十九、住房保障支出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二十、粮油物资储备支出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21</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二十一、国债还本付息支出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22</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0"/>
                <w:rFonts w:hint="eastAsia" w:ascii="宋体" w:hAnsi="宋体" w:eastAsia="宋体" w:cs="宋体"/>
                <w:sz w:val="21"/>
                <w:szCs w:val="21"/>
                <w:lang w:val="en-US" w:eastAsia="zh-CN" w:bidi="ar"/>
              </w:rPr>
              <w:t>二十二、其他支出</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23</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 xml:space="preserve">        </w:t>
            </w:r>
            <w:r>
              <w:rPr>
                <w:rStyle w:val="11"/>
                <w:rFonts w:hint="eastAsia" w:ascii="宋体" w:hAnsi="宋体" w:eastAsia="宋体" w:cs="宋体"/>
                <w:sz w:val="21"/>
                <w:szCs w:val="21"/>
                <w:lang w:val="en-US" w:eastAsia="zh-CN" w:bidi="ar"/>
              </w:rPr>
              <w:t>本年收入合计</w:t>
            </w: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4498.08</w:t>
            </w: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 xml:space="preserve">        </w:t>
            </w:r>
            <w:r>
              <w:rPr>
                <w:rStyle w:val="11"/>
                <w:rFonts w:hint="eastAsia" w:ascii="宋体" w:hAnsi="宋体" w:eastAsia="宋体" w:cs="宋体"/>
                <w:sz w:val="21"/>
                <w:szCs w:val="21"/>
                <w:lang w:val="en-US" w:eastAsia="zh-CN" w:bidi="ar"/>
              </w:rPr>
              <w:t>本年支出合计</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4498.08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511"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24</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w:t>
            </w:r>
            <w:r>
              <w:rPr>
                <w:rStyle w:val="10"/>
                <w:rFonts w:hint="eastAsia" w:ascii="宋体" w:hAnsi="宋体" w:eastAsia="宋体" w:cs="宋体"/>
                <w:sz w:val="21"/>
                <w:szCs w:val="21"/>
                <w:lang w:val="en-US" w:eastAsia="zh-CN" w:bidi="ar"/>
              </w:rPr>
              <w:t>用事业基金弥补收支差额</w:t>
            </w: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w:t>
            </w:r>
            <w:r>
              <w:rPr>
                <w:rStyle w:val="10"/>
                <w:rFonts w:hint="eastAsia" w:ascii="宋体" w:hAnsi="宋体" w:eastAsia="宋体" w:cs="宋体"/>
                <w:sz w:val="21"/>
                <w:szCs w:val="21"/>
                <w:lang w:val="en-US" w:eastAsia="zh-CN" w:bidi="ar"/>
              </w:rPr>
              <w:t>结余分配</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25</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w:t>
            </w:r>
            <w:r>
              <w:rPr>
                <w:rStyle w:val="10"/>
                <w:rFonts w:hint="eastAsia" w:ascii="宋体" w:hAnsi="宋体" w:eastAsia="宋体" w:cs="宋体"/>
                <w:sz w:val="21"/>
                <w:szCs w:val="21"/>
                <w:lang w:val="en-US" w:eastAsia="zh-CN" w:bidi="ar"/>
              </w:rPr>
              <w:t>年初结转和结余</w:t>
            </w: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w:t>
            </w:r>
            <w:r>
              <w:rPr>
                <w:rStyle w:val="10"/>
                <w:rFonts w:hint="eastAsia" w:ascii="宋体" w:hAnsi="宋体" w:eastAsia="宋体" w:cs="宋体"/>
                <w:sz w:val="21"/>
                <w:szCs w:val="21"/>
                <w:lang w:val="en-US" w:eastAsia="zh-CN" w:bidi="ar"/>
              </w:rPr>
              <w:t>年末结转和结余</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4"/>
          <w:wAfter w:w="1780" w:type="dxa"/>
          <w:trHeight w:val="420" w:hRule="atLeast"/>
        </w:trPr>
        <w:tc>
          <w:tcPr>
            <w:tcW w:w="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26</w:t>
            </w:r>
          </w:p>
        </w:tc>
        <w:tc>
          <w:tcPr>
            <w:tcW w:w="27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合计</w:t>
            </w:r>
          </w:p>
        </w:tc>
        <w:tc>
          <w:tcPr>
            <w:tcW w:w="28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4498.08</w:t>
            </w:r>
          </w:p>
        </w:tc>
        <w:tc>
          <w:tcPr>
            <w:tcW w:w="318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合计</w:t>
            </w:r>
          </w:p>
        </w:tc>
        <w:tc>
          <w:tcPr>
            <w:tcW w:w="31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4498.08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534" w:type="dxa"/>
          <w:trHeight w:val="660" w:hRule="atLeast"/>
        </w:trPr>
        <w:tc>
          <w:tcPr>
            <w:tcW w:w="12438" w:type="dxa"/>
            <w:gridSpan w:val="17"/>
            <w:shd w:val="clear" w:color="auto" w:fill="auto"/>
            <w:vAlign w:val="center"/>
          </w:tcPr>
          <w:p>
            <w:pPr>
              <w:keepNext w:val="0"/>
              <w:keepLines w:val="0"/>
              <w:widowControl/>
              <w:suppressLineNumbers w:val="0"/>
              <w:jc w:val="both"/>
              <w:textAlignment w:val="center"/>
              <w:rPr>
                <w:rFonts w:hint="eastAsia" w:ascii="宋体" w:hAnsi="宋体" w:cs="宋体"/>
                <w:b/>
                <w:i w:val="0"/>
                <w:color w:val="000000"/>
                <w:kern w:val="0"/>
                <w:sz w:val="21"/>
                <w:szCs w:val="21"/>
                <w:u w:val="none"/>
                <w:lang w:val="en-US" w:eastAsia="zh-CN" w:bidi="ar"/>
              </w:rPr>
            </w:pPr>
          </w:p>
          <w:p>
            <w:pPr>
              <w:keepNext w:val="0"/>
              <w:keepLines w:val="0"/>
              <w:widowControl/>
              <w:suppressLineNumbers w:val="0"/>
              <w:jc w:val="both"/>
              <w:textAlignment w:val="center"/>
              <w:rPr>
                <w:rFonts w:hint="eastAsia" w:ascii="宋体" w:hAnsi="宋体" w:eastAsia="宋体" w:cs="宋体"/>
                <w:b/>
                <w:i w:val="0"/>
                <w:color w:val="000000"/>
                <w:sz w:val="43"/>
                <w:szCs w:val="43"/>
                <w:u w:val="none"/>
              </w:rPr>
            </w:pPr>
            <w:r>
              <w:rPr>
                <w:rFonts w:hint="eastAsia" w:ascii="宋体" w:hAnsi="宋体" w:cs="宋体"/>
                <w:b/>
                <w:i w:val="0"/>
                <w:color w:val="000000"/>
                <w:kern w:val="0"/>
                <w:sz w:val="32"/>
                <w:szCs w:val="32"/>
                <w:u w:val="none"/>
                <w:lang w:val="en-US" w:eastAsia="zh-CN" w:bidi="ar"/>
              </w:rPr>
              <w:t>2、</w:t>
            </w:r>
            <w:r>
              <w:rPr>
                <w:rFonts w:hint="eastAsia" w:ascii="宋体" w:hAnsi="宋体" w:eastAsia="宋体" w:cs="宋体"/>
                <w:b/>
                <w:i w:val="0"/>
                <w:color w:val="000000"/>
                <w:kern w:val="0"/>
                <w:sz w:val="32"/>
                <w:szCs w:val="32"/>
                <w:u w:val="none"/>
                <w:lang w:val="en-US" w:eastAsia="zh-CN" w:bidi="ar"/>
              </w:rPr>
              <w:t>部门预算收入总表</w:t>
            </w:r>
          </w:p>
        </w:tc>
        <w:tc>
          <w:tcPr>
            <w:tcW w:w="1246" w:type="dxa"/>
            <w:gridSpan w:val="3"/>
            <w:shd w:val="clear" w:color="auto" w:fill="auto"/>
            <w:vAlign w:val="center"/>
          </w:tcPr>
          <w:p>
            <w:pPr>
              <w:keepNext w:val="0"/>
              <w:keepLines w:val="0"/>
              <w:widowControl/>
              <w:suppressLineNumbers w:val="0"/>
              <w:jc w:val="both"/>
              <w:textAlignment w:val="center"/>
              <w:rPr>
                <w:rFonts w:hint="eastAsia" w:ascii="宋体" w:hAnsi="宋体" w:cs="宋体"/>
                <w:b/>
                <w:i w:val="0"/>
                <w:color w:val="000000"/>
                <w:kern w:val="0"/>
                <w:sz w:val="21"/>
                <w:szCs w:val="21"/>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20" w:hRule="atLeast"/>
        </w:trPr>
        <w:tc>
          <w:tcPr>
            <w:tcW w:w="8381" w:type="dxa"/>
            <w:gridSpan w:val="11"/>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部门编码及名称：[533]</w:t>
            </w:r>
            <w:r>
              <w:rPr>
                <w:rStyle w:val="12"/>
                <w:rFonts w:hint="eastAsia" w:ascii="宋体" w:hAnsi="宋体" w:eastAsia="宋体" w:cs="宋体"/>
                <w:sz w:val="21"/>
                <w:szCs w:val="21"/>
                <w:lang w:val="en-US" w:eastAsia="zh-CN" w:bidi="ar"/>
              </w:rPr>
              <w:t>西柏坡纪念馆</w:t>
            </w:r>
          </w:p>
        </w:tc>
        <w:tc>
          <w:tcPr>
            <w:tcW w:w="2919" w:type="dxa"/>
            <w:gridSpan w:val="4"/>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Style w:val="12"/>
                <w:rFonts w:hint="eastAsia" w:ascii="宋体" w:hAnsi="宋体" w:eastAsia="宋体" w:cs="宋体"/>
                <w:sz w:val="21"/>
                <w:szCs w:val="21"/>
                <w:lang w:val="en-US" w:eastAsia="zh-CN" w:bidi="ar"/>
              </w:rPr>
              <w:t>预算年度：</w:t>
            </w:r>
            <w:r>
              <w:rPr>
                <w:rFonts w:hint="eastAsia" w:ascii="宋体" w:hAnsi="宋体" w:eastAsia="宋体" w:cs="宋体"/>
                <w:b/>
                <w:i w:val="0"/>
                <w:color w:val="000000"/>
                <w:kern w:val="0"/>
                <w:sz w:val="21"/>
                <w:szCs w:val="21"/>
                <w:u w:val="none"/>
                <w:lang w:val="en-US" w:eastAsia="zh-CN" w:bidi="ar"/>
              </w:rPr>
              <w:t>2018</w:t>
            </w:r>
          </w:p>
        </w:tc>
        <w:tc>
          <w:tcPr>
            <w:tcW w:w="2143" w:type="dxa"/>
            <w:gridSpan w:val="4"/>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1"/>
                <w:szCs w:val="21"/>
                <w:u w:val="none"/>
              </w:rPr>
            </w:pPr>
            <w:r>
              <w:rPr>
                <w:rStyle w:val="12"/>
                <w:rFonts w:hint="eastAsia" w:ascii="宋体" w:hAnsi="宋体" w:eastAsia="宋体" w:cs="宋体"/>
                <w:sz w:val="21"/>
                <w:szCs w:val="21"/>
                <w:lang w:val="en-US" w:eastAsia="zh-CN" w:bidi="ar"/>
              </w:rPr>
              <w:t>金额单位：万元</w:t>
            </w:r>
          </w:p>
        </w:tc>
        <w:tc>
          <w:tcPr>
            <w:tcW w:w="775" w:type="dxa"/>
            <w:gridSpan w:val="2"/>
            <w:shd w:val="clear" w:color="auto" w:fill="auto"/>
            <w:vAlign w:val="center"/>
          </w:tcPr>
          <w:p>
            <w:pPr>
              <w:keepNext w:val="0"/>
              <w:keepLines w:val="0"/>
              <w:widowControl/>
              <w:suppressLineNumbers w:val="0"/>
              <w:jc w:val="right"/>
              <w:textAlignment w:val="center"/>
              <w:rPr>
                <w:rStyle w:val="12"/>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775" w:type="dxa"/>
          <w:trHeight w:val="485" w:hRule="atLeast"/>
        </w:trPr>
        <w:tc>
          <w:tcPr>
            <w:tcW w:w="4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12"/>
                <w:rFonts w:hint="eastAsia" w:ascii="宋体" w:hAnsi="宋体" w:eastAsia="宋体" w:cs="宋体"/>
                <w:sz w:val="21"/>
                <w:szCs w:val="21"/>
                <w:lang w:val="en-US" w:eastAsia="zh-CN" w:bidi="ar"/>
              </w:rPr>
              <w:t>序号</w:t>
            </w:r>
          </w:p>
        </w:tc>
        <w:tc>
          <w:tcPr>
            <w:tcW w:w="340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12"/>
                <w:rFonts w:hint="eastAsia" w:ascii="宋体" w:hAnsi="宋体" w:eastAsia="宋体" w:cs="宋体"/>
                <w:sz w:val="21"/>
                <w:szCs w:val="21"/>
                <w:lang w:val="en-US" w:eastAsia="zh-CN" w:bidi="ar"/>
              </w:rPr>
              <w:t>科目</w:t>
            </w:r>
          </w:p>
        </w:tc>
        <w:tc>
          <w:tcPr>
            <w:tcW w:w="12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12"/>
                <w:rFonts w:hint="eastAsia" w:ascii="宋体" w:hAnsi="宋体" w:eastAsia="宋体" w:cs="宋体"/>
                <w:sz w:val="21"/>
                <w:szCs w:val="21"/>
                <w:lang w:val="en-US" w:eastAsia="zh-CN" w:bidi="ar"/>
              </w:rPr>
              <w:t>本年收入合计</w:t>
            </w:r>
          </w:p>
        </w:tc>
        <w:tc>
          <w:tcPr>
            <w:tcW w:w="113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12"/>
                <w:rFonts w:hint="eastAsia" w:ascii="宋体" w:hAnsi="宋体" w:eastAsia="宋体" w:cs="宋体"/>
                <w:sz w:val="21"/>
                <w:szCs w:val="21"/>
                <w:lang w:val="en-US" w:eastAsia="zh-CN" w:bidi="ar"/>
              </w:rPr>
              <w:t>财政拨款收入</w:t>
            </w:r>
          </w:p>
        </w:tc>
        <w:tc>
          <w:tcPr>
            <w:tcW w:w="12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12"/>
                <w:rFonts w:hint="eastAsia" w:ascii="宋体" w:hAnsi="宋体" w:eastAsia="宋体" w:cs="宋体"/>
                <w:sz w:val="21"/>
                <w:szCs w:val="21"/>
                <w:lang w:val="en-US" w:eastAsia="zh-CN" w:bidi="ar"/>
              </w:rPr>
              <w:t>上级补助收入</w:t>
            </w:r>
          </w:p>
        </w:tc>
        <w:tc>
          <w:tcPr>
            <w:tcW w:w="216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12"/>
                <w:rFonts w:hint="eastAsia" w:ascii="宋体" w:hAnsi="宋体" w:eastAsia="宋体" w:cs="宋体"/>
                <w:sz w:val="21"/>
                <w:szCs w:val="21"/>
                <w:lang w:val="en-US" w:eastAsia="zh-CN" w:bidi="ar"/>
              </w:rPr>
              <w:t>事业收入</w:t>
            </w:r>
          </w:p>
        </w:tc>
        <w:tc>
          <w:tcPr>
            <w:tcW w:w="11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12"/>
                <w:rFonts w:hint="eastAsia" w:ascii="宋体" w:hAnsi="宋体" w:eastAsia="宋体" w:cs="宋体"/>
                <w:sz w:val="21"/>
                <w:szCs w:val="21"/>
                <w:lang w:val="en-US" w:eastAsia="zh-CN" w:bidi="ar"/>
              </w:rPr>
              <w:t>经营收入</w:t>
            </w:r>
          </w:p>
        </w:tc>
        <w:tc>
          <w:tcPr>
            <w:tcW w:w="10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12"/>
                <w:rFonts w:hint="eastAsia" w:ascii="宋体" w:hAnsi="宋体" w:eastAsia="宋体" w:cs="宋体"/>
                <w:sz w:val="21"/>
                <w:szCs w:val="21"/>
                <w:lang w:val="en-US" w:eastAsia="zh-CN" w:bidi="ar"/>
              </w:rPr>
              <w:t>附属单位上缴收入</w:t>
            </w:r>
          </w:p>
        </w:tc>
        <w:tc>
          <w:tcPr>
            <w:tcW w:w="94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12"/>
                <w:rFonts w:hint="eastAsia" w:ascii="宋体" w:hAnsi="宋体" w:eastAsia="宋体" w:cs="宋体"/>
                <w:sz w:val="21"/>
                <w:szCs w:val="21"/>
                <w:lang w:val="en-US" w:eastAsia="zh-CN" w:bidi="ar"/>
              </w:rPr>
              <w:t>其他收入</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Style w:val="12"/>
                <w:rFonts w:hint="eastAsia" w:ascii="宋体" w:hAnsi="宋体" w:eastAsia="宋体" w:cs="宋体"/>
                <w:sz w:val="21"/>
                <w:szCs w:val="21"/>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775" w:type="dxa"/>
          <w:trHeight w:val="855" w:hRule="atLeast"/>
        </w:trPr>
        <w:tc>
          <w:tcPr>
            <w:tcW w:w="4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9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12"/>
                <w:rFonts w:hint="eastAsia" w:ascii="宋体" w:hAnsi="宋体" w:eastAsia="宋体" w:cs="宋体"/>
                <w:sz w:val="21"/>
                <w:szCs w:val="21"/>
                <w:lang w:val="en-US" w:eastAsia="zh-CN" w:bidi="ar"/>
              </w:rPr>
              <w:t>功能分类科目编码</w:t>
            </w:r>
          </w:p>
        </w:tc>
        <w:tc>
          <w:tcPr>
            <w:tcW w:w="240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12"/>
                <w:rFonts w:hint="eastAsia" w:ascii="宋体" w:hAnsi="宋体" w:eastAsia="宋体" w:cs="宋体"/>
                <w:sz w:val="21"/>
                <w:szCs w:val="21"/>
                <w:lang w:val="en-US" w:eastAsia="zh-CN" w:bidi="ar"/>
              </w:rPr>
              <w:t>科目名称</w:t>
            </w:r>
          </w:p>
        </w:tc>
        <w:tc>
          <w:tcPr>
            <w:tcW w:w="1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113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12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12"/>
                <w:rFonts w:hint="eastAsia" w:ascii="宋体" w:hAnsi="宋体" w:eastAsia="宋体" w:cs="宋体"/>
                <w:sz w:val="21"/>
                <w:szCs w:val="21"/>
                <w:lang w:val="en-US" w:eastAsia="zh-CN" w:bidi="ar"/>
              </w:rPr>
              <w:t>小计</w:t>
            </w:r>
          </w:p>
        </w:tc>
        <w:tc>
          <w:tcPr>
            <w:tcW w:w="14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12"/>
                <w:rFonts w:hint="eastAsia" w:ascii="宋体" w:hAnsi="宋体" w:eastAsia="宋体" w:cs="宋体"/>
                <w:sz w:val="21"/>
                <w:szCs w:val="21"/>
                <w:lang w:val="en-US" w:eastAsia="zh-CN" w:bidi="ar"/>
              </w:rPr>
              <w:t>其中：财政专户收入</w:t>
            </w: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10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94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775" w:type="dxa"/>
          <w:trHeight w:val="45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Style w:val="12"/>
                <w:rFonts w:hint="eastAsia" w:ascii="宋体" w:hAnsi="宋体" w:eastAsia="宋体" w:cs="宋体"/>
                <w:sz w:val="21"/>
                <w:szCs w:val="21"/>
                <w:lang w:val="en-US" w:eastAsia="zh-CN" w:bidi="ar"/>
              </w:rPr>
              <w:t>栏次</w:t>
            </w:r>
          </w:p>
        </w:tc>
        <w:tc>
          <w:tcPr>
            <w:tcW w:w="9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1</w:t>
            </w:r>
          </w:p>
        </w:tc>
        <w:tc>
          <w:tcPr>
            <w:tcW w:w="240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2</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3</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4</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5</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6</w:t>
            </w:r>
          </w:p>
        </w:tc>
        <w:tc>
          <w:tcPr>
            <w:tcW w:w="14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7</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8</w:t>
            </w: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9</w:t>
            </w:r>
          </w:p>
        </w:tc>
        <w:tc>
          <w:tcPr>
            <w:tcW w:w="9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10</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kern w:val="0"/>
                <w:sz w:val="21"/>
                <w:szCs w:val="21"/>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775" w:type="dxa"/>
          <w:trHeight w:val="45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9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40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合计</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1"/>
                <w:szCs w:val="21"/>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1"/>
                <w:szCs w:val="21"/>
                <w:u w:val="none"/>
              </w:rPr>
            </w:pPr>
          </w:p>
        </w:tc>
        <w:tc>
          <w:tcPr>
            <w:tcW w:w="14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1"/>
                <w:szCs w:val="21"/>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1"/>
                <w:szCs w:val="21"/>
                <w:u w:val="none"/>
              </w:rPr>
            </w:pP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1"/>
                <w:szCs w:val="21"/>
                <w:u w:val="none"/>
              </w:rPr>
            </w:pPr>
          </w:p>
        </w:tc>
        <w:tc>
          <w:tcPr>
            <w:tcW w:w="9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1"/>
                <w:szCs w:val="21"/>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775" w:type="dxa"/>
          <w:trHeight w:val="45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w:t>
            </w:r>
          </w:p>
        </w:tc>
        <w:tc>
          <w:tcPr>
            <w:tcW w:w="9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w:t>
            </w:r>
          </w:p>
        </w:tc>
        <w:tc>
          <w:tcPr>
            <w:tcW w:w="240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文化体育与传媒支出</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4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9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775" w:type="dxa"/>
          <w:trHeight w:val="45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w:t>
            </w:r>
          </w:p>
        </w:tc>
        <w:tc>
          <w:tcPr>
            <w:tcW w:w="9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20701</w:t>
            </w:r>
          </w:p>
        </w:tc>
        <w:tc>
          <w:tcPr>
            <w:tcW w:w="240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文化</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1332.94</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1332.94</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4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9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775" w:type="dxa"/>
          <w:trHeight w:val="45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w:t>
            </w:r>
          </w:p>
        </w:tc>
        <w:tc>
          <w:tcPr>
            <w:tcW w:w="9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2070105</w:t>
            </w:r>
          </w:p>
        </w:tc>
        <w:tc>
          <w:tcPr>
            <w:tcW w:w="240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文化展示及纪念机构</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1272.94</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1272.94</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4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9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775" w:type="dxa"/>
          <w:trHeight w:val="45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5</w:t>
            </w:r>
          </w:p>
        </w:tc>
        <w:tc>
          <w:tcPr>
            <w:tcW w:w="9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2070199</w:t>
            </w:r>
          </w:p>
        </w:tc>
        <w:tc>
          <w:tcPr>
            <w:tcW w:w="240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其他文化支出</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60.00</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60.00</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4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9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775" w:type="dxa"/>
          <w:trHeight w:val="45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6</w:t>
            </w:r>
          </w:p>
        </w:tc>
        <w:tc>
          <w:tcPr>
            <w:tcW w:w="9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20702</w:t>
            </w:r>
          </w:p>
        </w:tc>
        <w:tc>
          <w:tcPr>
            <w:tcW w:w="240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文物</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3165.14</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3165.14</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4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9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2"/>
          <w:wAfter w:w="775" w:type="dxa"/>
          <w:trHeight w:val="450" w:hRule="atLeast"/>
        </w:trPr>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w:t>
            </w:r>
          </w:p>
        </w:tc>
        <w:tc>
          <w:tcPr>
            <w:tcW w:w="9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2070205</w:t>
            </w:r>
          </w:p>
        </w:tc>
        <w:tc>
          <w:tcPr>
            <w:tcW w:w="240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博物馆</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3165.14</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3165.14</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4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9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bl>
    <w:tbl>
      <w:tblPr>
        <w:tblStyle w:val="5"/>
        <w:tblpPr w:leftFromText="180" w:rightFromText="180" w:vertAnchor="text" w:horzAnchor="page" w:tblpX="1409" w:tblpY="273"/>
        <w:tblOverlap w:val="never"/>
        <w:tblW w:w="1339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27"/>
        <w:gridCol w:w="1168"/>
        <w:gridCol w:w="2604"/>
        <w:gridCol w:w="1376"/>
        <w:gridCol w:w="1575"/>
        <w:gridCol w:w="1210"/>
        <w:gridCol w:w="740"/>
        <w:gridCol w:w="960"/>
        <w:gridCol w:w="1335"/>
        <w:gridCol w:w="18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75" w:hRule="atLeast"/>
        </w:trPr>
        <w:tc>
          <w:tcPr>
            <w:tcW w:w="13395" w:type="dxa"/>
            <w:gridSpan w:val="10"/>
            <w:shd w:val="clear" w:color="auto" w:fill="auto"/>
            <w:vAlign w:val="center"/>
          </w:tcPr>
          <w:p>
            <w:pPr>
              <w:keepNext w:val="0"/>
              <w:keepLines w:val="0"/>
              <w:widowControl/>
              <w:suppressLineNumbers w:val="0"/>
              <w:jc w:val="both"/>
              <w:textAlignment w:val="center"/>
              <w:rPr>
                <w:rFonts w:hint="eastAsia" w:ascii="宋体" w:hAnsi="宋体" w:eastAsia="宋体" w:cs="宋体"/>
                <w:b/>
                <w:i w:val="0"/>
                <w:color w:val="000000"/>
                <w:sz w:val="43"/>
                <w:szCs w:val="43"/>
                <w:u w:val="none"/>
              </w:rPr>
            </w:pPr>
            <w:r>
              <w:rPr>
                <w:rFonts w:hint="eastAsia" w:ascii="宋体" w:hAnsi="宋体" w:cs="宋体"/>
                <w:b/>
                <w:i w:val="0"/>
                <w:color w:val="000000"/>
                <w:kern w:val="0"/>
                <w:sz w:val="32"/>
                <w:szCs w:val="32"/>
                <w:u w:val="none"/>
                <w:lang w:val="en-US" w:eastAsia="zh-CN" w:bidi="ar"/>
              </w:rPr>
              <w:t>3、</w:t>
            </w:r>
            <w:r>
              <w:rPr>
                <w:rFonts w:hint="eastAsia" w:ascii="宋体" w:hAnsi="宋体" w:eastAsia="宋体" w:cs="宋体"/>
                <w:b/>
                <w:i w:val="0"/>
                <w:color w:val="000000"/>
                <w:kern w:val="0"/>
                <w:sz w:val="32"/>
                <w:szCs w:val="32"/>
                <w:u w:val="none"/>
                <w:lang w:val="en-US" w:eastAsia="zh-CN" w:bidi="ar"/>
              </w:rPr>
              <w:t>部门预算支出总表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25" w:hRule="atLeast"/>
        </w:trPr>
        <w:tc>
          <w:tcPr>
            <w:tcW w:w="7350" w:type="dxa"/>
            <w:gridSpan w:val="5"/>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部门编码及名称：[533]西柏坡纪念馆</w:t>
            </w:r>
          </w:p>
        </w:tc>
        <w:tc>
          <w:tcPr>
            <w:tcW w:w="1950" w:type="dxa"/>
            <w:gridSpan w:val="2"/>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预算年度：2018</w:t>
            </w:r>
          </w:p>
        </w:tc>
        <w:tc>
          <w:tcPr>
            <w:tcW w:w="4095" w:type="dxa"/>
            <w:gridSpan w:val="3"/>
            <w:tcBorders>
              <w:bottom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6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序号</w:t>
            </w:r>
          </w:p>
        </w:tc>
        <w:tc>
          <w:tcPr>
            <w:tcW w:w="37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科目</w:t>
            </w:r>
          </w:p>
        </w:tc>
        <w:tc>
          <w:tcPr>
            <w:tcW w:w="13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本年支出合计</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基本支出</w:t>
            </w:r>
          </w:p>
        </w:tc>
        <w:tc>
          <w:tcPr>
            <w:tcW w:w="12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项目支出</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上缴上级支出</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经营支出</w:t>
            </w:r>
          </w:p>
        </w:tc>
        <w:tc>
          <w:tcPr>
            <w:tcW w:w="13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对附属单位补助支出</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其他支出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70" w:hRule="atLeast"/>
        </w:trPr>
        <w:tc>
          <w:tcPr>
            <w:tcW w:w="6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功能分类科目编码</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科目名称</w:t>
            </w:r>
          </w:p>
        </w:tc>
        <w:tc>
          <w:tcPr>
            <w:tcW w:w="13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栏次</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1</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2</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3</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4</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5</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7</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8</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合计</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3078.88</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1419.20</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1"/>
                <w:szCs w:val="21"/>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1"/>
                <w:szCs w:val="21"/>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文化体育与传媒支出</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3078.88</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1419.20</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20701</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文化</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1332.94</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785.94</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547.00</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2070105</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文化展示及纪念机构</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1272.94</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785.94</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487.00</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5</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2070199</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其他文化支出</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60.00</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60.00</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6</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20702</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文物</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3165.14</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2292.94</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872.20</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2070205</w:t>
            </w:r>
          </w:p>
        </w:tc>
        <w:tc>
          <w:tcPr>
            <w:tcW w:w="26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博物馆</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3165.14</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2292.94</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872.20</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bl>
    <w:p>
      <w:pPr>
        <w:spacing w:line="536" w:lineRule="exact"/>
        <w:ind w:right="-879"/>
        <w:rPr>
          <w:rFonts w:hint="eastAsia" w:ascii="宋体" w:hAnsi="宋体"/>
          <w:sz w:val="44"/>
        </w:rPr>
      </w:pPr>
    </w:p>
    <w:p>
      <w:pPr>
        <w:spacing w:line="536" w:lineRule="exact"/>
        <w:ind w:right="-879" w:firstLine="5720" w:firstLineChars="1300"/>
        <w:rPr>
          <w:rFonts w:hint="eastAsia" w:ascii="宋体" w:hAnsi="宋体"/>
          <w:sz w:val="44"/>
        </w:rPr>
      </w:pPr>
    </w:p>
    <w:p>
      <w:pPr>
        <w:spacing w:line="536" w:lineRule="exact"/>
        <w:ind w:right="-879" w:firstLine="5720" w:firstLineChars="1300"/>
        <w:rPr>
          <w:rFonts w:hint="eastAsia" w:ascii="宋体" w:hAnsi="宋体"/>
          <w:sz w:val="44"/>
        </w:rPr>
      </w:pPr>
    </w:p>
    <w:p>
      <w:pPr>
        <w:spacing w:line="536" w:lineRule="exact"/>
        <w:ind w:right="-879" w:firstLine="5720" w:firstLineChars="1300"/>
        <w:rPr>
          <w:rFonts w:hint="eastAsia" w:ascii="宋体" w:hAnsi="宋体"/>
          <w:sz w:val="44"/>
        </w:rPr>
      </w:pPr>
    </w:p>
    <w:p>
      <w:pPr>
        <w:spacing w:line="536" w:lineRule="exact"/>
        <w:ind w:right="-879" w:firstLine="5720" w:firstLineChars="1300"/>
        <w:rPr>
          <w:rFonts w:hint="eastAsia" w:ascii="宋体" w:hAnsi="宋体"/>
          <w:sz w:val="44"/>
        </w:rPr>
      </w:pPr>
    </w:p>
    <w:p>
      <w:pPr>
        <w:spacing w:line="536" w:lineRule="exact"/>
        <w:ind w:right="-879"/>
        <w:rPr>
          <w:rFonts w:hint="eastAsia" w:ascii="宋体" w:hAnsi="宋体"/>
          <w:sz w:val="44"/>
        </w:rPr>
      </w:pPr>
    </w:p>
    <w:p>
      <w:pPr>
        <w:spacing w:line="536" w:lineRule="exact"/>
        <w:ind w:right="-879" w:firstLine="5720" w:firstLineChars="1300"/>
        <w:rPr>
          <w:rFonts w:hint="eastAsia" w:ascii="宋体" w:hAnsi="宋体"/>
          <w:sz w:val="44"/>
        </w:rPr>
      </w:pPr>
    </w:p>
    <w:p>
      <w:pPr>
        <w:spacing w:line="536" w:lineRule="exact"/>
        <w:ind w:right="-879" w:firstLine="5720" w:firstLineChars="1300"/>
        <w:rPr>
          <w:rFonts w:hint="eastAsia" w:ascii="宋体" w:hAnsi="宋体"/>
          <w:sz w:val="44"/>
        </w:rPr>
      </w:pPr>
    </w:p>
    <w:p>
      <w:pPr>
        <w:spacing w:line="536" w:lineRule="exact"/>
        <w:ind w:right="-879" w:firstLine="5720" w:firstLineChars="1300"/>
        <w:rPr>
          <w:rFonts w:hint="eastAsia" w:ascii="宋体" w:hAnsi="宋体"/>
          <w:sz w:val="44"/>
        </w:rPr>
      </w:pPr>
    </w:p>
    <w:p>
      <w:pPr>
        <w:spacing w:line="536" w:lineRule="exact"/>
        <w:ind w:right="-879" w:firstLine="5720" w:firstLineChars="1300"/>
        <w:rPr>
          <w:rFonts w:hint="eastAsia" w:ascii="宋体" w:hAnsi="宋体"/>
          <w:sz w:val="44"/>
        </w:rPr>
      </w:pPr>
    </w:p>
    <w:p>
      <w:pPr>
        <w:spacing w:line="536" w:lineRule="exact"/>
        <w:ind w:right="-879" w:firstLine="5720" w:firstLineChars="1300"/>
        <w:rPr>
          <w:rFonts w:hint="eastAsia" w:ascii="宋体" w:hAnsi="宋体"/>
          <w:sz w:val="44"/>
        </w:rPr>
      </w:pPr>
    </w:p>
    <w:p>
      <w:pPr>
        <w:spacing w:line="536" w:lineRule="exact"/>
        <w:ind w:right="-879" w:firstLine="5720" w:firstLineChars="1300"/>
        <w:rPr>
          <w:rFonts w:hint="eastAsia" w:ascii="宋体" w:hAnsi="宋体"/>
          <w:sz w:val="44"/>
        </w:rPr>
      </w:pPr>
    </w:p>
    <w:tbl>
      <w:tblPr>
        <w:tblStyle w:val="5"/>
        <w:tblW w:w="1341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591"/>
        <w:gridCol w:w="2866"/>
        <w:gridCol w:w="2381"/>
        <w:gridCol w:w="2805"/>
        <w:gridCol w:w="468"/>
        <w:gridCol w:w="812"/>
        <w:gridCol w:w="1011"/>
        <w:gridCol w:w="894"/>
        <w:gridCol w:w="1192"/>
        <w:gridCol w:w="39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735" w:hRule="atLeast"/>
        </w:trPr>
        <w:tc>
          <w:tcPr>
            <w:tcW w:w="13413" w:type="dxa"/>
            <w:gridSpan w:val="10"/>
            <w:shd w:val="clear" w:color="auto" w:fill="auto"/>
            <w:vAlign w:val="center"/>
          </w:tcPr>
          <w:p>
            <w:pPr>
              <w:keepNext w:val="0"/>
              <w:keepLines w:val="0"/>
              <w:widowControl/>
              <w:suppressLineNumbers w:val="0"/>
              <w:jc w:val="both"/>
              <w:textAlignment w:val="center"/>
              <w:rPr>
                <w:rFonts w:hint="eastAsia" w:ascii="宋体" w:hAnsi="宋体" w:cs="宋体"/>
                <w:b/>
                <w:i w:val="0"/>
                <w:color w:val="000000"/>
                <w:kern w:val="0"/>
                <w:sz w:val="32"/>
                <w:szCs w:val="32"/>
                <w:u w:val="none"/>
                <w:lang w:val="en-US" w:eastAsia="zh-CN" w:bidi="ar"/>
              </w:rPr>
            </w:pPr>
          </w:p>
          <w:p>
            <w:pPr>
              <w:keepNext w:val="0"/>
              <w:keepLines w:val="0"/>
              <w:widowControl/>
              <w:suppressLineNumbers w:val="0"/>
              <w:jc w:val="both"/>
              <w:textAlignment w:val="center"/>
              <w:rPr>
                <w:rFonts w:hint="eastAsia" w:ascii="宋体" w:hAnsi="宋体" w:cs="宋体"/>
                <w:b/>
                <w:i w:val="0"/>
                <w:color w:val="000000"/>
                <w:kern w:val="0"/>
                <w:sz w:val="32"/>
                <w:szCs w:val="32"/>
                <w:u w:val="none"/>
                <w:lang w:val="en-US" w:eastAsia="zh-CN" w:bidi="ar"/>
              </w:rPr>
            </w:pPr>
          </w:p>
          <w:p>
            <w:pPr>
              <w:keepNext w:val="0"/>
              <w:keepLines w:val="0"/>
              <w:widowControl/>
              <w:suppressLineNumbers w:val="0"/>
              <w:jc w:val="both"/>
              <w:textAlignment w:val="center"/>
              <w:rPr>
                <w:rFonts w:hint="eastAsia" w:ascii="宋体" w:hAnsi="宋体" w:cs="宋体"/>
                <w:b/>
                <w:i w:val="0"/>
                <w:color w:val="000000"/>
                <w:kern w:val="0"/>
                <w:sz w:val="32"/>
                <w:szCs w:val="32"/>
                <w:u w:val="none"/>
                <w:lang w:val="en-US" w:eastAsia="zh-CN" w:bidi="ar"/>
              </w:rPr>
            </w:pPr>
          </w:p>
          <w:p>
            <w:pPr>
              <w:keepNext w:val="0"/>
              <w:keepLines w:val="0"/>
              <w:widowControl/>
              <w:suppressLineNumbers w:val="0"/>
              <w:jc w:val="both"/>
              <w:textAlignment w:val="center"/>
              <w:rPr>
                <w:rFonts w:hint="eastAsia" w:ascii="宋体" w:hAnsi="宋体" w:cs="宋体"/>
                <w:b/>
                <w:i w:val="0"/>
                <w:color w:val="000000"/>
                <w:kern w:val="0"/>
                <w:sz w:val="32"/>
                <w:szCs w:val="32"/>
                <w:u w:val="none"/>
                <w:lang w:val="en-US" w:eastAsia="zh-CN" w:bidi="ar"/>
              </w:rPr>
            </w:pPr>
          </w:p>
          <w:p>
            <w:pPr>
              <w:keepNext w:val="0"/>
              <w:keepLines w:val="0"/>
              <w:widowControl/>
              <w:suppressLineNumbers w:val="0"/>
              <w:jc w:val="both"/>
              <w:textAlignment w:val="center"/>
              <w:rPr>
                <w:rFonts w:hint="eastAsia" w:ascii="宋体" w:hAnsi="宋体" w:eastAsia="宋体" w:cs="宋体"/>
                <w:b/>
                <w:i w:val="0"/>
                <w:color w:val="000000"/>
                <w:sz w:val="43"/>
                <w:szCs w:val="43"/>
                <w:u w:val="none"/>
              </w:rPr>
            </w:pPr>
            <w:r>
              <w:rPr>
                <w:rFonts w:hint="eastAsia" w:ascii="宋体" w:hAnsi="宋体" w:cs="宋体"/>
                <w:b/>
                <w:i w:val="0"/>
                <w:color w:val="000000"/>
                <w:kern w:val="0"/>
                <w:sz w:val="32"/>
                <w:szCs w:val="32"/>
                <w:u w:val="none"/>
                <w:lang w:val="en-US" w:eastAsia="zh-CN" w:bidi="ar"/>
              </w:rPr>
              <w:t>4、</w:t>
            </w:r>
            <w:r>
              <w:rPr>
                <w:rFonts w:hint="eastAsia" w:ascii="宋体" w:hAnsi="宋体" w:eastAsia="宋体" w:cs="宋体"/>
                <w:b/>
                <w:i w:val="0"/>
                <w:color w:val="000000"/>
                <w:kern w:val="0"/>
                <w:sz w:val="32"/>
                <w:szCs w:val="32"/>
                <w:u w:val="none"/>
                <w:lang w:val="en-US" w:eastAsia="zh-CN" w:bidi="ar"/>
              </w:rPr>
              <w:t>部门预算财政拨款收支总表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25" w:hRule="atLeast"/>
        </w:trPr>
        <w:tc>
          <w:tcPr>
            <w:tcW w:w="5838" w:type="dxa"/>
            <w:gridSpan w:val="3"/>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部门编码及名称：[533]西柏坡纪念馆</w:t>
            </w:r>
          </w:p>
        </w:tc>
        <w:tc>
          <w:tcPr>
            <w:tcW w:w="3273" w:type="dxa"/>
            <w:gridSpan w:val="2"/>
            <w:shd w:val="clear" w:color="auto" w:fill="auto"/>
            <w:vAlign w:val="center"/>
          </w:tcPr>
          <w:p>
            <w:pPr>
              <w:rPr>
                <w:rFonts w:hint="eastAsia" w:ascii="宋体" w:hAnsi="宋体" w:eastAsia="宋体" w:cs="宋体"/>
                <w:b/>
                <w:i w:val="0"/>
                <w:color w:val="000000"/>
                <w:sz w:val="21"/>
                <w:szCs w:val="21"/>
                <w:u w:val="none"/>
              </w:rPr>
            </w:pPr>
          </w:p>
        </w:tc>
        <w:tc>
          <w:tcPr>
            <w:tcW w:w="1823" w:type="dxa"/>
            <w:gridSpan w:val="2"/>
            <w:tcBorders>
              <w:bottom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预算年度：2018</w:t>
            </w:r>
          </w:p>
        </w:tc>
        <w:tc>
          <w:tcPr>
            <w:tcW w:w="2479" w:type="dxa"/>
            <w:gridSpan w:val="3"/>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5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栏次</w:t>
            </w:r>
          </w:p>
        </w:tc>
        <w:tc>
          <w:tcPr>
            <w:tcW w:w="52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收入</w:t>
            </w:r>
          </w:p>
        </w:tc>
        <w:tc>
          <w:tcPr>
            <w:tcW w:w="757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1080" w:hRule="atLeast"/>
        </w:trPr>
        <w:tc>
          <w:tcPr>
            <w:tcW w:w="5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项    目</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金额</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项    目</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合计</w:t>
            </w: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一般公共预算财政拨款</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政府性基金预算财政拨款</w:t>
            </w:r>
          </w:p>
        </w:tc>
        <w:tc>
          <w:tcPr>
            <w:tcW w:w="1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栏次</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1</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2</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3</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4</w:t>
            </w: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5</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6</w:t>
            </w:r>
          </w:p>
        </w:tc>
        <w:tc>
          <w:tcPr>
            <w:tcW w:w="1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一、一般公共预算财政拨款</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一、一般公共服务支出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二、政府性基金预算财政拨款</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二、外交支出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三、国有资本经营预算财政拨款</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三、国防支出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四、公共安全支出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5</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五、教育支出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6</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六、科学技术支出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七、文化体育与传媒支出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8</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八、社会保障和就业支出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9</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九、医疗卫生与计划生育支出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10</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十、节能环保支出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11</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十一、城乡社区支出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12</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十二、农林水支出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13</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十三、交通运输支出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393" w:type="dxa"/>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14</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十四、资源勘探信息等支出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393" w:type="dxa"/>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15</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十五、商业服务业等支出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393" w:type="dxa"/>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16</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十六、金融支出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393" w:type="dxa"/>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17</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十七、援助其他地区支出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393" w:type="dxa"/>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18</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十八、国土海洋气候等支出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393" w:type="dxa"/>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19</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十九、住房保障支出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393" w:type="dxa"/>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二十、粮油物资储备支出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393" w:type="dxa"/>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21</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二十一、国债还本付息支出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393" w:type="dxa"/>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22</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二十二、其他支出</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393" w:type="dxa"/>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23</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本年收入合计</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本年支出合计</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393" w:type="dxa"/>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24</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年初财政拨款结转和结余</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年末结转和结余</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gridAfter w:val="1"/>
          <w:wAfter w:w="393" w:type="dxa"/>
          <w:trHeight w:val="405"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25</w:t>
            </w:r>
          </w:p>
        </w:tc>
        <w:tc>
          <w:tcPr>
            <w:tcW w:w="2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 xml:space="preserve">            合计</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 xml:space="preserve">            合计</w:t>
            </w:r>
          </w:p>
        </w:tc>
        <w:tc>
          <w:tcPr>
            <w:tcW w:w="1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10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1"/>
                <w:szCs w:val="21"/>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1"/>
                <w:szCs w:val="21"/>
                <w:u w:val="none"/>
              </w:rPr>
            </w:pPr>
          </w:p>
        </w:tc>
      </w:tr>
    </w:tbl>
    <w:p>
      <w:pPr>
        <w:spacing w:line="536" w:lineRule="exact"/>
        <w:ind w:right="-879"/>
        <w:rPr>
          <w:rFonts w:hint="eastAsia" w:ascii="宋体" w:hAnsi="宋体" w:eastAsia="宋体" w:cs="宋体"/>
          <w:sz w:val="21"/>
          <w:szCs w:val="21"/>
        </w:rPr>
      </w:pPr>
    </w:p>
    <w:tbl>
      <w:tblPr>
        <w:tblStyle w:val="5"/>
        <w:tblW w:w="1299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746"/>
        <w:gridCol w:w="1614"/>
        <w:gridCol w:w="4805"/>
        <w:gridCol w:w="2281"/>
        <w:gridCol w:w="472"/>
        <w:gridCol w:w="1032"/>
        <w:gridCol w:w="204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70" w:hRule="atLeast"/>
        </w:trPr>
        <w:tc>
          <w:tcPr>
            <w:tcW w:w="12993" w:type="dxa"/>
            <w:gridSpan w:val="7"/>
            <w:shd w:val="clear" w:color="auto" w:fill="auto"/>
            <w:vAlign w:val="center"/>
          </w:tcPr>
          <w:p>
            <w:pPr>
              <w:keepNext w:val="0"/>
              <w:keepLines w:val="0"/>
              <w:widowControl/>
              <w:suppressLineNumbers w:val="0"/>
              <w:jc w:val="both"/>
              <w:textAlignment w:val="center"/>
              <w:rPr>
                <w:rFonts w:hint="eastAsia" w:ascii="宋体" w:hAnsi="宋体" w:eastAsia="宋体" w:cs="宋体"/>
                <w:b/>
                <w:i w:val="0"/>
                <w:color w:val="000000"/>
                <w:sz w:val="43"/>
                <w:szCs w:val="43"/>
                <w:u w:val="none"/>
              </w:rPr>
            </w:pPr>
            <w:r>
              <w:rPr>
                <w:rFonts w:hint="eastAsia" w:ascii="宋体" w:hAnsi="宋体" w:cs="宋体"/>
                <w:b/>
                <w:i w:val="0"/>
                <w:color w:val="000000"/>
                <w:kern w:val="0"/>
                <w:sz w:val="32"/>
                <w:szCs w:val="32"/>
                <w:u w:val="none"/>
                <w:lang w:val="en-US" w:eastAsia="zh-CN" w:bidi="ar"/>
              </w:rPr>
              <w:t>5、</w:t>
            </w:r>
            <w:r>
              <w:rPr>
                <w:rFonts w:hint="eastAsia" w:ascii="宋体" w:hAnsi="宋体" w:eastAsia="宋体" w:cs="宋体"/>
                <w:b/>
                <w:i w:val="0"/>
                <w:color w:val="000000"/>
                <w:kern w:val="0"/>
                <w:sz w:val="32"/>
                <w:szCs w:val="32"/>
                <w:u w:val="none"/>
                <w:lang w:val="en-US" w:eastAsia="zh-CN" w:bidi="ar"/>
              </w:rPr>
              <w:t>部门预算一般公共预算财政拨款支出表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86" w:hRule="atLeast"/>
        </w:trPr>
        <w:tc>
          <w:tcPr>
            <w:tcW w:w="9918" w:type="dxa"/>
            <w:gridSpan w:val="5"/>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部门编码及名称：[533]西柏坡纪念馆</w:t>
            </w:r>
          </w:p>
        </w:tc>
        <w:tc>
          <w:tcPr>
            <w:tcW w:w="1032" w:type="dxa"/>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预算年度：2018</w:t>
            </w:r>
          </w:p>
        </w:tc>
        <w:tc>
          <w:tcPr>
            <w:tcW w:w="2043" w:type="dxa"/>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95" w:hRule="atLeast"/>
        </w:trPr>
        <w:tc>
          <w:tcPr>
            <w:tcW w:w="7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序号</w:t>
            </w:r>
          </w:p>
        </w:tc>
        <w:tc>
          <w:tcPr>
            <w:tcW w:w="64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科目</w:t>
            </w:r>
          </w:p>
        </w:tc>
        <w:tc>
          <w:tcPr>
            <w:tcW w:w="2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合计</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基本支出</w:t>
            </w:r>
          </w:p>
        </w:tc>
        <w:tc>
          <w:tcPr>
            <w:tcW w:w="2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70" w:hRule="atLeast"/>
        </w:trPr>
        <w:tc>
          <w:tcPr>
            <w:tcW w:w="7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功能分类科目编码</w:t>
            </w:r>
          </w:p>
        </w:tc>
        <w:tc>
          <w:tcPr>
            <w:tcW w:w="4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科目名称</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15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20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0" w:hRule="atLeast"/>
        </w:trPr>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栏次</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1</w:t>
            </w:r>
          </w:p>
        </w:tc>
        <w:tc>
          <w:tcPr>
            <w:tcW w:w="4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2</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3</w:t>
            </w:r>
          </w:p>
        </w:tc>
        <w:tc>
          <w:tcPr>
            <w:tcW w:w="15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4</w:t>
            </w:r>
          </w:p>
        </w:tc>
        <w:tc>
          <w:tcPr>
            <w:tcW w:w="2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0" w:hRule="atLeast"/>
        </w:trPr>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4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合计</w:t>
            </w:r>
          </w:p>
        </w:tc>
        <w:tc>
          <w:tcPr>
            <w:tcW w:w="2281" w:type="dxa"/>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1504"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3078.88</w:t>
            </w:r>
          </w:p>
        </w:tc>
        <w:tc>
          <w:tcPr>
            <w:tcW w:w="2043" w:type="dxa"/>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1419.20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0" w:hRule="atLeast"/>
        </w:trPr>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w:t>
            </w:r>
          </w:p>
        </w:tc>
        <w:tc>
          <w:tcPr>
            <w:tcW w:w="4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文化体育与传媒支出</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4498.08</w:t>
            </w:r>
          </w:p>
        </w:tc>
        <w:tc>
          <w:tcPr>
            <w:tcW w:w="15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3078.88</w:t>
            </w:r>
          </w:p>
        </w:tc>
        <w:tc>
          <w:tcPr>
            <w:tcW w:w="2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1419.20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0" w:hRule="atLeast"/>
        </w:trPr>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20701</w:t>
            </w:r>
          </w:p>
        </w:tc>
        <w:tc>
          <w:tcPr>
            <w:tcW w:w="4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文化</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1332.94</w:t>
            </w:r>
          </w:p>
        </w:tc>
        <w:tc>
          <w:tcPr>
            <w:tcW w:w="15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785.94</w:t>
            </w:r>
          </w:p>
        </w:tc>
        <w:tc>
          <w:tcPr>
            <w:tcW w:w="2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547.00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0" w:hRule="atLeast"/>
        </w:trPr>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2070105</w:t>
            </w:r>
          </w:p>
        </w:tc>
        <w:tc>
          <w:tcPr>
            <w:tcW w:w="4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文化展示及纪念机构</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1272.94</w:t>
            </w:r>
          </w:p>
        </w:tc>
        <w:tc>
          <w:tcPr>
            <w:tcW w:w="15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785.94</w:t>
            </w:r>
          </w:p>
        </w:tc>
        <w:tc>
          <w:tcPr>
            <w:tcW w:w="2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487.00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0" w:hRule="atLeast"/>
        </w:trPr>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5</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2070199</w:t>
            </w:r>
          </w:p>
        </w:tc>
        <w:tc>
          <w:tcPr>
            <w:tcW w:w="4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其他文化支出</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60.00</w:t>
            </w:r>
          </w:p>
        </w:tc>
        <w:tc>
          <w:tcPr>
            <w:tcW w:w="15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60.00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0" w:hRule="atLeast"/>
        </w:trPr>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6</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20702</w:t>
            </w:r>
          </w:p>
        </w:tc>
        <w:tc>
          <w:tcPr>
            <w:tcW w:w="4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文物</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3165.14</w:t>
            </w:r>
          </w:p>
        </w:tc>
        <w:tc>
          <w:tcPr>
            <w:tcW w:w="15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2292.94</w:t>
            </w:r>
          </w:p>
        </w:tc>
        <w:tc>
          <w:tcPr>
            <w:tcW w:w="2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872.20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0" w:hRule="atLeast"/>
        </w:trPr>
        <w:tc>
          <w:tcPr>
            <w:tcW w:w="7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2070205</w:t>
            </w:r>
          </w:p>
        </w:tc>
        <w:tc>
          <w:tcPr>
            <w:tcW w:w="4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博物馆</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3165.14</w:t>
            </w:r>
          </w:p>
        </w:tc>
        <w:tc>
          <w:tcPr>
            <w:tcW w:w="15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2292.94</w:t>
            </w:r>
          </w:p>
        </w:tc>
        <w:tc>
          <w:tcPr>
            <w:tcW w:w="2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872.20</w:t>
            </w:r>
          </w:p>
        </w:tc>
      </w:tr>
    </w:tbl>
    <w:p>
      <w:pPr>
        <w:spacing w:line="536" w:lineRule="exact"/>
        <w:ind w:right="-879"/>
        <w:rPr>
          <w:rFonts w:hint="eastAsia" w:ascii="宋体" w:hAnsi="宋体"/>
          <w:sz w:val="44"/>
        </w:rPr>
      </w:pPr>
    </w:p>
    <w:tbl>
      <w:tblPr>
        <w:tblStyle w:val="5"/>
        <w:tblW w:w="1296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763"/>
        <w:gridCol w:w="1586"/>
        <w:gridCol w:w="4620"/>
        <w:gridCol w:w="1826"/>
        <w:gridCol w:w="643"/>
        <w:gridCol w:w="1049"/>
        <w:gridCol w:w="451"/>
        <w:gridCol w:w="20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690" w:hRule="atLeast"/>
        </w:trPr>
        <w:tc>
          <w:tcPr>
            <w:tcW w:w="12963" w:type="dxa"/>
            <w:gridSpan w:val="8"/>
            <w:shd w:val="clear" w:color="auto" w:fill="auto"/>
            <w:vAlign w:val="center"/>
          </w:tcPr>
          <w:p>
            <w:pPr>
              <w:keepNext w:val="0"/>
              <w:keepLines w:val="0"/>
              <w:widowControl/>
              <w:suppressLineNumbers w:val="0"/>
              <w:jc w:val="both"/>
              <w:textAlignment w:val="center"/>
              <w:rPr>
                <w:rFonts w:hint="eastAsia" w:ascii="宋体" w:hAnsi="宋体" w:eastAsia="宋体" w:cs="宋体"/>
                <w:b/>
                <w:i w:val="0"/>
                <w:color w:val="000000"/>
                <w:sz w:val="43"/>
                <w:szCs w:val="43"/>
                <w:u w:val="none"/>
              </w:rPr>
            </w:pPr>
            <w:r>
              <w:rPr>
                <w:rFonts w:hint="eastAsia" w:ascii="宋体" w:hAnsi="宋体" w:cs="宋体"/>
                <w:b/>
                <w:i w:val="0"/>
                <w:color w:val="000000"/>
                <w:kern w:val="0"/>
                <w:sz w:val="32"/>
                <w:szCs w:val="32"/>
                <w:u w:val="none"/>
                <w:lang w:val="en-US" w:eastAsia="zh-CN" w:bidi="ar"/>
              </w:rPr>
              <w:t>6、</w:t>
            </w:r>
            <w:r>
              <w:rPr>
                <w:rFonts w:hint="eastAsia" w:ascii="宋体" w:hAnsi="宋体" w:eastAsia="宋体" w:cs="宋体"/>
                <w:b/>
                <w:i w:val="0"/>
                <w:color w:val="000000"/>
                <w:kern w:val="0"/>
                <w:sz w:val="32"/>
                <w:szCs w:val="32"/>
                <w:u w:val="none"/>
                <w:lang w:val="en-US" w:eastAsia="zh-CN" w:bidi="ar"/>
              </w:rPr>
              <w:t>部门预算一般公共预算财政拨款基本支出表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20" w:hRule="atLeast"/>
        </w:trPr>
        <w:tc>
          <w:tcPr>
            <w:tcW w:w="8795" w:type="dxa"/>
            <w:gridSpan w:val="4"/>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部门编码及名称：[318]河北省财政厅</w:t>
            </w:r>
          </w:p>
        </w:tc>
        <w:tc>
          <w:tcPr>
            <w:tcW w:w="1692" w:type="dxa"/>
            <w:gridSpan w:val="2"/>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预算年度：2018</w:t>
            </w:r>
          </w:p>
        </w:tc>
        <w:tc>
          <w:tcPr>
            <w:tcW w:w="2476"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7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序号</w:t>
            </w:r>
          </w:p>
        </w:tc>
        <w:tc>
          <w:tcPr>
            <w:tcW w:w="62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科目</w:t>
            </w:r>
          </w:p>
        </w:tc>
        <w:tc>
          <w:tcPr>
            <w:tcW w:w="5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45" w:hRule="atLeast"/>
        </w:trPr>
        <w:tc>
          <w:tcPr>
            <w:tcW w:w="7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经济分类科目编码</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科目名称</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合计</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人员经费</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栏次</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1</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2</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3</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4</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合计</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3078.88</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2818.30</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260.58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301</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工资福利支出</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2266.62</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2266.62</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30101</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基本工资</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475.16</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475.16</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30102</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津贴补贴</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150.53</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150.53</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5</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30107</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绩效工资</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459.08</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459.08</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6</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30108</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机关事业单位基本养老保险缴费</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186.84</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186.84</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30109</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职业年金缴费</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21.00</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21.00</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8</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30110</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城镇职工基本医疗保险缴费</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139.41</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139.41</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9</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30112</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其他社会保障缴费</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11.21</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11.21</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10</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30113</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住房公积金</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159.55</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159.55</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11</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30199</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其他工资福利支出</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663.84</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663.84</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12</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302</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商品和服务支出</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260.58</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260.58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13</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30208</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取暖费</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102.00</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102.00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14</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30213</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维修(护)费</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29.45</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29.45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15</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30216</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培训费</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7.13</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16</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30228</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工会经费</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18.68</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18.68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17</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30229</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福利费</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11.88</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11.88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18</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30299</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其他商品和服务支出</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91.44</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91.44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19</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303</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对个人和家庭的补助</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551.68</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551.68</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20</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30302</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退休费</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47.30</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47.30</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21</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30305</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生活补助</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2.90</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2.90</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22</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30309</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奖励金</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0.48</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0.48</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23</w:t>
            </w:r>
          </w:p>
        </w:tc>
        <w:tc>
          <w:tcPr>
            <w:tcW w:w="15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30399</w:t>
            </w:r>
          </w:p>
        </w:tc>
        <w:tc>
          <w:tcPr>
            <w:tcW w:w="4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其他对个人和家庭的补助</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501.00</w:t>
            </w:r>
          </w:p>
        </w:tc>
        <w:tc>
          <w:tcPr>
            <w:tcW w:w="1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501.00</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bl>
    <w:tbl>
      <w:tblPr>
        <w:tblStyle w:val="5"/>
        <w:tblpPr w:leftFromText="180" w:rightFromText="180" w:vertAnchor="text" w:horzAnchor="page" w:tblpX="1394" w:tblpY="195"/>
        <w:tblOverlap w:val="never"/>
        <w:tblW w:w="1293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734"/>
        <w:gridCol w:w="1382"/>
        <w:gridCol w:w="3522"/>
        <w:gridCol w:w="2156"/>
        <w:gridCol w:w="2340"/>
        <w:gridCol w:w="27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40" w:hRule="atLeast"/>
        </w:trPr>
        <w:tc>
          <w:tcPr>
            <w:tcW w:w="12930" w:type="dxa"/>
            <w:gridSpan w:val="6"/>
            <w:shd w:val="clear" w:color="auto" w:fill="auto"/>
            <w:vAlign w:val="center"/>
          </w:tcPr>
          <w:p>
            <w:pPr>
              <w:keepNext w:val="0"/>
              <w:keepLines w:val="0"/>
              <w:widowControl/>
              <w:suppressLineNumbers w:val="0"/>
              <w:jc w:val="both"/>
              <w:textAlignment w:val="center"/>
              <w:rPr>
                <w:rFonts w:hint="eastAsia" w:ascii="宋体" w:hAnsi="宋体" w:cs="宋体"/>
                <w:b/>
                <w:i w:val="0"/>
                <w:color w:val="000000"/>
                <w:kern w:val="0"/>
                <w:sz w:val="21"/>
                <w:szCs w:val="21"/>
                <w:u w:val="none"/>
                <w:lang w:val="en-US" w:eastAsia="zh-CN" w:bidi="ar"/>
              </w:rPr>
            </w:pPr>
          </w:p>
          <w:p>
            <w:pPr>
              <w:keepNext w:val="0"/>
              <w:keepLines w:val="0"/>
              <w:widowControl/>
              <w:suppressLineNumbers w:val="0"/>
              <w:jc w:val="both"/>
              <w:textAlignment w:val="center"/>
              <w:rPr>
                <w:rFonts w:hint="eastAsia" w:ascii="宋体" w:hAnsi="宋体" w:eastAsia="宋体" w:cs="宋体"/>
                <w:b/>
                <w:i w:val="0"/>
                <w:color w:val="000000"/>
                <w:sz w:val="43"/>
                <w:szCs w:val="43"/>
                <w:u w:val="none"/>
              </w:rPr>
            </w:pPr>
            <w:r>
              <w:rPr>
                <w:rFonts w:hint="eastAsia" w:ascii="宋体" w:hAnsi="宋体" w:cs="宋体"/>
                <w:b/>
                <w:i w:val="0"/>
                <w:color w:val="000000"/>
                <w:kern w:val="0"/>
                <w:sz w:val="32"/>
                <w:szCs w:val="32"/>
                <w:u w:val="none"/>
                <w:lang w:val="en-US" w:eastAsia="zh-CN" w:bidi="ar"/>
              </w:rPr>
              <w:t>7、</w:t>
            </w:r>
            <w:r>
              <w:rPr>
                <w:rFonts w:hint="eastAsia" w:ascii="宋体" w:hAnsi="宋体" w:eastAsia="宋体" w:cs="宋体"/>
                <w:b/>
                <w:i w:val="0"/>
                <w:color w:val="000000"/>
                <w:kern w:val="0"/>
                <w:sz w:val="32"/>
                <w:szCs w:val="32"/>
                <w:u w:val="none"/>
                <w:lang w:val="en-US" w:eastAsia="zh-CN" w:bidi="ar"/>
              </w:rPr>
              <w:t>部门预算政府基金预算财政拨款支出表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794" w:type="dxa"/>
            <w:gridSpan w:val="4"/>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部门编码及名称：[533]西柏坡纪念馆</w:t>
            </w:r>
          </w:p>
        </w:tc>
        <w:tc>
          <w:tcPr>
            <w:tcW w:w="2340" w:type="dxa"/>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预算年度：2018</w:t>
            </w:r>
          </w:p>
        </w:tc>
        <w:tc>
          <w:tcPr>
            <w:tcW w:w="2796" w:type="dxa"/>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3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序号</w:t>
            </w:r>
          </w:p>
        </w:tc>
        <w:tc>
          <w:tcPr>
            <w:tcW w:w="49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科目</w:t>
            </w:r>
          </w:p>
        </w:tc>
        <w:tc>
          <w:tcPr>
            <w:tcW w:w="21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合计</w:t>
            </w:r>
          </w:p>
        </w:tc>
        <w:tc>
          <w:tcPr>
            <w:tcW w:w="23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基本支出</w:t>
            </w:r>
          </w:p>
        </w:tc>
        <w:tc>
          <w:tcPr>
            <w:tcW w:w="27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825" w:hRule="atLeast"/>
        </w:trPr>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功能分类科目编码</w:t>
            </w:r>
          </w:p>
        </w:tc>
        <w:tc>
          <w:tcPr>
            <w:tcW w:w="35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科目名称</w:t>
            </w:r>
          </w:p>
        </w:tc>
        <w:tc>
          <w:tcPr>
            <w:tcW w:w="21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23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27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5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栏次</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1</w:t>
            </w:r>
          </w:p>
        </w:tc>
        <w:tc>
          <w:tcPr>
            <w:tcW w:w="35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2</w:t>
            </w:r>
          </w:p>
        </w:tc>
        <w:tc>
          <w:tcPr>
            <w:tcW w:w="2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3</w:t>
            </w: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4</w:t>
            </w: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5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35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1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5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35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1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5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35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1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5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35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1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50"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5</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35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1"/>
                <w:szCs w:val="21"/>
                <w:u w:val="none"/>
              </w:rPr>
            </w:pPr>
          </w:p>
        </w:tc>
        <w:tc>
          <w:tcPr>
            <w:tcW w:w="21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7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40" w:hRule="atLeast"/>
        </w:trPr>
        <w:tc>
          <w:tcPr>
            <w:tcW w:w="734" w:type="dxa"/>
            <w:shd w:val="clear" w:color="auto" w:fill="auto"/>
            <w:vAlign w:val="bottom"/>
          </w:tcPr>
          <w:p>
            <w:pPr>
              <w:rPr>
                <w:rFonts w:hint="eastAsia" w:ascii="宋体" w:hAnsi="宋体" w:eastAsia="宋体" w:cs="宋体"/>
                <w:i w:val="0"/>
                <w:color w:val="000000"/>
                <w:sz w:val="21"/>
                <w:szCs w:val="21"/>
                <w:u w:val="none"/>
              </w:rPr>
            </w:pPr>
          </w:p>
        </w:tc>
        <w:tc>
          <w:tcPr>
            <w:tcW w:w="12196" w:type="dxa"/>
            <w:gridSpan w:val="5"/>
            <w:tcBorders>
              <w:top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注：无政府基金预算，空表列示。</w:t>
            </w:r>
          </w:p>
        </w:tc>
      </w:tr>
    </w:tbl>
    <w:p>
      <w:pPr>
        <w:spacing w:line="536" w:lineRule="exact"/>
        <w:ind w:right="-879"/>
        <w:rPr>
          <w:rFonts w:hint="eastAsia" w:ascii="宋体" w:hAnsi="宋体"/>
          <w:sz w:val="44"/>
        </w:rPr>
      </w:pPr>
    </w:p>
    <w:p>
      <w:pPr>
        <w:spacing w:line="536" w:lineRule="exact"/>
        <w:ind w:right="-879"/>
        <w:rPr>
          <w:rFonts w:hint="eastAsia" w:ascii="宋体" w:hAnsi="宋体"/>
          <w:sz w:val="44"/>
        </w:rPr>
      </w:pPr>
    </w:p>
    <w:tbl>
      <w:tblPr>
        <w:tblStyle w:val="5"/>
        <w:tblpPr w:leftFromText="180" w:rightFromText="180" w:vertAnchor="text" w:horzAnchor="page" w:tblpX="1334" w:tblpY="537"/>
        <w:tblOverlap w:val="never"/>
        <w:tblW w:w="1296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42"/>
        <w:gridCol w:w="1377"/>
        <w:gridCol w:w="4012"/>
        <w:gridCol w:w="2330"/>
        <w:gridCol w:w="1527"/>
        <w:gridCol w:w="27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675" w:hRule="atLeast"/>
        </w:trPr>
        <w:tc>
          <w:tcPr>
            <w:tcW w:w="12963" w:type="dxa"/>
            <w:gridSpan w:val="6"/>
            <w:shd w:val="clear" w:color="auto" w:fill="auto"/>
            <w:vAlign w:val="center"/>
          </w:tcPr>
          <w:p>
            <w:pPr>
              <w:keepNext w:val="0"/>
              <w:keepLines w:val="0"/>
              <w:widowControl/>
              <w:suppressLineNumbers w:val="0"/>
              <w:jc w:val="both"/>
              <w:textAlignment w:val="center"/>
              <w:rPr>
                <w:rFonts w:hint="eastAsia" w:ascii="宋体" w:hAnsi="宋体" w:eastAsia="宋体" w:cs="宋体"/>
                <w:b/>
                <w:i w:val="0"/>
                <w:color w:val="000000"/>
                <w:sz w:val="43"/>
                <w:szCs w:val="43"/>
                <w:u w:val="none"/>
              </w:rPr>
            </w:pPr>
            <w:r>
              <w:rPr>
                <w:rFonts w:hint="eastAsia" w:ascii="宋体" w:hAnsi="宋体" w:cs="宋体"/>
                <w:b/>
                <w:i w:val="0"/>
                <w:color w:val="000000"/>
                <w:kern w:val="0"/>
                <w:sz w:val="32"/>
                <w:szCs w:val="32"/>
                <w:u w:val="none"/>
                <w:lang w:val="en-US" w:eastAsia="zh-CN" w:bidi="ar"/>
              </w:rPr>
              <w:t>8、</w:t>
            </w:r>
            <w:r>
              <w:rPr>
                <w:rFonts w:hint="eastAsia" w:ascii="宋体" w:hAnsi="宋体" w:eastAsia="宋体" w:cs="宋体"/>
                <w:b/>
                <w:i w:val="0"/>
                <w:color w:val="000000"/>
                <w:kern w:val="0"/>
                <w:sz w:val="32"/>
                <w:szCs w:val="32"/>
                <w:u w:val="none"/>
                <w:lang w:val="en-US" w:eastAsia="zh-CN" w:bidi="ar"/>
              </w:rPr>
              <w:t>部门预算国有资本经营预算财政拨款支出表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95" w:hRule="atLeast"/>
        </w:trPr>
        <w:tc>
          <w:tcPr>
            <w:tcW w:w="8661" w:type="dxa"/>
            <w:gridSpan w:val="4"/>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部门编码及名称：[533]西柏坡纪念馆</w:t>
            </w:r>
          </w:p>
        </w:tc>
        <w:tc>
          <w:tcPr>
            <w:tcW w:w="1527" w:type="dxa"/>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预算年度：2018</w:t>
            </w:r>
          </w:p>
        </w:tc>
        <w:tc>
          <w:tcPr>
            <w:tcW w:w="2775" w:type="dxa"/>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40" w:hRule="atLeast"/>
        </w:trPr>
        <w:tc>
          <w:tcPr>
            <w:tcW w:w="9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序号</w:t>
            </w:r>
          </w:p>
        </w:tc>
        <w:tc>
          <w:tcPr>
            <w:tcW w:w="538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科目</w:t>
            </w:r>
          </w:p>
        </w:tc>
        <w:tc>
          <w:tcPr>
            <w:tcW w:w="23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基本支出</w:t>
            </w:r>
          </w:p>
        </w:tc>
        <w:tc>
          <w:tcPr>
            <w:tcW w:w="27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70" w:hRule="atLeast"/>
        </w:trPr>
        <w:tc>
          <w:tcPr>
            <w:tcW w:w="9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功能分类科目编码</w:t>
            </w: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科目名称</w:t>
            </w:r>
          </w:p>
        </w:tc>
        <w:tc>
          <w:tcPr>
            <w:tcW w:w="23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27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栏次</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1</w:t>
            </w: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2</w:t>
            </w:r>
          </w:p>
        </w:tc>
        <w:tc>
          <w:tcPr>
            <w:tcW w:w="2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4</w:t>
            </w:r>
          </w:p>
        </w:tc>
        <w:tc>
          <w:tcPr>
            <w:tcW w:w="2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30"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775"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30"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775"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30"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775"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30"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775"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30"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775"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30"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775"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30"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775"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30"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775"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330"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c>
          <w:tcPr>
            <w:tcW w:w="2775" w:type="dxa"/>
            <w:tcBorders>
              <w:top w:val="single" w:color="000000" w:sz="4" w:space="0"/>
              <w:left w:val="single" w:color="000000" w:sz="4" w:space="0"/>
              <w:bottom w:val="single" w:color="000000" w:sz="4" w:space="0"/>
              <w:right w:val="single" w:color="000000" w:sz="4" w:space="0"/>
            </w:tcBorders>
            <w:shd w:val="clear" w:color="auto" w:fill="auto"/>
            <w:vAlign w:val="top"/>
          </w:tcPr>
          <w:p>
            <w:pPr>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40" w:hRule="atLeast"/>
        </w:trPr>
        <w:tc>
          <w:tcPr>
            <w:tcW w:w="942" w:type="dxa"/>
            <w:shd w:val="clear" w:color="auto" w:fill="auto"/>
            <w:vAlign w:val="bottom"/>
          </w:tcPr>
          <w:p>
            <w:pPr>
              <w:rPr>
                <w:rFonts w:hint="eastAsia" w:ascii="宋体" w:hAnsi="宋体" w:eastAsia="宋体" w:cs="宋体"/>
                <w:i w:val="0"/>
                <w:color w:val="000000"/>
                <w:sz w:val="21"/>
                <w:szCs w:val="21"/>
                <w:u w:val="none"/>
              </w:rPr>
            </w:pPr>
          </w:p>
        </w:tc>
        <w:tc>
          <w:tcPr>
            <w:tcW w:w="12021" w:type="dxa"/>
            <w:gridSpan w:val="5"/>
            <w:tcBorders>
              <w:top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注：无国有资本经营预算，空表列示。</w:t>
            </w:r>
          </w:p>
        </w:tc>
      </w:tr>
    </w:tbl>
    <w:p>
      <w:pPr>
        <w:spacing w:line="536" w:lineRule="exact"/>
        <w:ind w:right="-879" w:firstLine="5720" w:firstLineChars="1300"/>
        <w:rPr>
          <w:rFonts w:hint="eastAsia" w:ascii="宋体" w:hAnsi="宋体"/>
          <w:sz w:val="44"/>
        </w:rPr>
      </w:pPr>
    </w:p>
    <w:p>
      <w:pPr>
        <w:spacing w:line="536" w:lineRule="exact"/>
        <w:ind w:right="-879" w:firstLine="5720" w:firstLineChars="1300"/>
        <w:rPr>
          <w:rFonts w:hint="eastAsia" w:ascii="宋体" w:hAnsi="宋体"/>
          <w:sz w:val="44"/>
        </w:rPr>
      </w:pPr>
    </w:p>
    <w:p>
      <w:pPr>
        <w:spacing w:line="536" w:lineRule="exact"/>
        <w:ind w:right="-879" w:firstLine="5720" w:firstLineChars="1300"/>
        <w:rPr>
          <w:rFonts w:hint="eastAsia" w:ascii="宋体" w:hAnsi="宋体"/>
          <w:sz w:val="44"/>
        </w:rPr>
      </w:pPr>
    </w:p>
    <w:p>
      <w:pPr>
        <w:spacing w:line="536" w:lineRule="exact"/>
        <w:ind w:right="-879" w:firstLine="5720" w:firstLineChars="1300"/>
        <w:rPr>
          <w:rFonts w:hint="eastAsia" w:ascii="宋体" w:hAnsi="宋体"/>
          <w:sz w:val="44"/>
        </w:rPr>
      </w:pPr>
    </w:p>
    <w:p>
      <w:pPr>
        <w:spacing w:line="536" w:lineRule="exact"/>
        <w:ind w:right="-879" w:firstLine="5720" w:firstLineChars="1300"/>
        <w:rPr>
          <w:rFonts w:hint="eastAsia" w:ascii="宋体" w:hAnsi="宋体"/>
          <w:sz w:val="44"/>
        </w:rPr>
      </w:pPr>
    </w:p>
    <w:p>
      <w:pPr>
        <w:spacing w:line="536" w:lineRule="exact"/>
        <w:ind w:right="-879" w:firstLine="5720" w:firstLineChars="1300"/>
        <w:rPr>
          <w:rFonts w:hint="eastAsia" w:ascii="宋体" w:hAnsi="宋体"/>
          <w:sz w:val="44"/>
        </w:rPr>
      </w:pPr>
    </w:p>
    <w:p>
      <w:pPr>
        <w:spacing w:line="536" w:lineRule="exact"/>
        <w:ind w:right="-879" w:firstLine="5720" w:firstLineChars="1300"/>
        <w:rPr>
          <w:rFonts w:hint="eastAsia" w:ascii="宋体" w:hAnsi="宋体"/>
          <w:sz w:val="44"/>
        </w:rPr>
      </w:pPr>
    </w:p>
    <w:p>
      <w:pPr>
        <w:spacing w:line="536" w:lineRule="exact"/>
        <w:ind w:right="-879" w:firstLine="5720" w:firstLineChars="1300"/>
        <w:rPr>
          <w:rFonts w:hint="eastAsia" w:ascii="宋体" w:hAnsi="宋体"/>
          <w:sz w:val="44"/>
        </w:rPr>
      </w:pPr>
    </w:p>
    <w:tbl>
      <w:tblPr>
        <w:tblStyle w:val="5"/>
        <w:tblpPr w:leftFromText="180" w:rightFromText="180" w:vertAnchor="text" w:horzAnchor="page" w:tblpX="1439" w:tblpY="297"/>
        <w:tblOverlap w:val="never"/>
        <w:tblW w:w="1322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773"/>
        <w:gridCol w:w="2974"/>
        <w:gridCol w:w="1479"/>
        <w:gridCol w:w="2039"/>
        <w:gridCol w:w="2468"/>
        <w:gridCol w:w="1445"/>
        <w:gridCol w:w="573"/>
        <w:gridCol w:w="14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720" w:hRule="atLeast"/>
        </w:trPr>
        <w:tc>
          <w:tcPr>
            <w:tcW w:w="13226" w:type="dxa"/>
            <w:gridSpan w:val="8"/>
            <w:shd w:val="clear" w:color="auto" w:fill="auto"/>
            <w:vAlign w:val="center"/>
          </w:tcPr>
          <w:p>
            <w:pPr>
              <w:keepNext w:val="0"/>
              <w:keepLines w:val="0"/>
              <w:widowControl/>
              <w:suppressLineNumbers w:val="0"/>
              <w:jc w:val="both"/>
              <w:textAlignment w:val="center"/>
              <w:rPr>
                <w:rFonts w:hint="eastAsia" w:ascii="宋体" w:hAnsi="宋体" w:cs="宋体"/>
                <w:b/>
                <w:i w:val="0"/>
                <w:color w:val="000000"/>
                <w:kern w:val="0"/>
                <w:sz w:val="32"/>
                <w:szCs w:val="32"/>
                <w:u w:val="none"/>
                <w:lang w:val="en-US" w:eastAsia="zh-CN" w:bidi="ar"/>
              </w:rPr>
            </w:pPr>
          </w:p>
          <w:p>
            <w:pPr>
              <w:keepNext w:val="0"/>
              <w:keepLines w:val="0"/>
              <w:widowControl/>
              <w:suppressLineNumbers w:val="0"/>
              <w:jc w:val="both"/>
              <w:textAlignment w:val="center"/>
              <w:rPr>
                <w:rFonts w:hint="eastAsia" w:ascii="宋体" w:hAnsi="宋体" w:cs="宋体"/>
                <w:b/>
                <w:i w:val="0"/>
                <w:color w:val="000000"/>
                <w:kern w:val="0"/>
                <w:sz w:val="32"/>
                <w:szCs w:val="32"/>
                <w:u w:val="none"/>
                <w:lang w:val="en-US" w:eastAsia="zh-CN" w:bidi="ar"/>
              </w:rPr>
            </w:pPr>
          </w:p>
          <w:p>
            <w:pPr>
              <w:keepNext w:val="0"/>
              <w:keepLines w:val="0"/>
              <w:widowControl/>
              <w:suppressLineNumbers w:val="0"/>
              <w:jc w:val="both"/>
              <w:textAlignment w:val="center"/>
              <w:rPr>
                <w:rFonts w:hint="eastAsia" w:ascii="宋体" w:hAnsi="宋体" w:cs="宋体"/>
                <w:b/>
                <w:i w:val="0"/>
                <w:color w:val="000000"/>
                <w:kern w:val="0"/>
                <w:sz w:val="32"/>
                <w:szCs w:val="32"/>
                <w:u w:val="none"/>
                <w:lang w:val="en-US" w:eastAsia="zh-CN" w:bidi="ar"/>
              </w:rPr>
            </w:pPr>
          </w:p>
          <w:p>
            <w:pPr>
              <w:keepNext w:val="0"/>
              <w:keepLines w:val="0"/>
              <w:widowControl/>
              <w:suppressLineNumbers w:val="0"/>
              <w:jc w:val="both"/>
              <w:textAlignment w:val="center"/>
              <w:rPr>
                <w:rFonts w:hint="eastAsia" w:ascii="宋体" w:hAnsi="宋体" w:cs="宋体"/>
                <w:b/>
                <w:i w:val="0"/>
                <w:color w:val="000000"/>
                <w:kern w:val="0"/>
                <w:sz w:val="32"/>
                <w:szCs w:val="32"/>
                <w:u w:val="none"/>
                <w:lang w:val="en-US" w:eastAsia="zh-CN" w:bidi="ar"/>
              </w:rPr>
            </w:pPr>
          </w:p>
          <w:p>
            <w:pPr>
              <w:keepNext w:val="0"/>
              <w:keepLines w:val="0"/>
              <w:widowControl/>
              <w:suppressLineNumbers w:val="0"/>
              <w:jc w:val="both"/>
              <w:textAlignment w:val="center"/>
              <w:rPr>
                <w:rFonts w:hint="eastAsia" w:ascii="宋体" w:hAnsi="宋体" w:eastAsia="宋体" w:cs="宋体"/>
                <w:b/>
                <w:i w:val="0"/>
                <w:color w:val="000000"/>
                <w:sz w:val="43"/>
                <w:szCs w:val="43"/>
                <w:u w:val="none"/>
              </w:rPr>
            </w:pPr>
            <w:r>
              <w:rPr>
                <w:rFonts w:hint="eastAsia" w:ascii="宋体" w:hAnsi="宋体" w:cs="宋体"/>
                <w:b/>
                <w:i w:val="0"/>
                <w:color w:val="000000"/>
                <w:kern w:val="0"/>
                <w:sz w:val="32"/>
                <w:szCs w:val="32"/>
                <w:u w:val="none"/>
                <w:lang w:val="en-US" w:eastAsia="zh-CN" w:bidi="ar"/>
              </w:rPr>
              <w:t>9、</w:t>
            </w:r>
            <w:r>
              <w:rPr>
                <w:rFonts w:hint="eastAsia" w:ascii="宋体" w:hAnsi="宋体" w:eastAsia="宋体" w:cs="宋体"/>
                <w:b/>
                <w:i w:val="0"/>
                <w:color w:val="000000"/>
                <w:kern w:val="0"/>
                <w:sz w:val="32"/>
                <w:szCs w:val="32"/>
                <w:u w:val="none"/>
                <w:lang w:val="en-US" w:eastAsia="zh-CN" w:bidi="ar"/>
              </w:rPr>
              <w:t>部门预算财政拨款“三公”经费支出表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5" w:hRule="atLeast"/>
        </w:trPr>
        <w:tc>
          <w:tcPr>
            <w:tcW w:w="7265" w:type="dxa"/>
            <w:gridSpan w:val="4"/>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部门编码及名称：[533]西柏坡纪念馆</w:t>
            </w:r>
          </w:p>
        </w:tc>
        <w:tc>
          <w:tcPr>
            <w:tcW w:w="2468" w:type="dxa"/>
            <w:shd w:val="clear" w:color="auto" w:fill="auto"/>
            <w:vAlign w:val="center"/>
          </w:tcPr>
          <w:p>
            <w:pPr>
              <w:keepNext w:val="0"/>
              <w:keepLines w:val="0"/>
              <w:widowControl/>
              <w:suppressLineNumbers w:val="0"/>
              <w:jc w:val="lef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预算年度：2018</w:t>
            </w:r>
          </w:p>
        </w:tc>
        <w:tc>
          <w:tcPr>
            <w:tcW w:w="1445" w:type="dxa"/>
            <w:shd w:val="clear" w:color="auto" w:fill="auto"/>
            <w:vAlign w:val="bottom"/>
          </w:tcPr>
          <w:p>
            <w:pPr>
              <w:rPr>
                <w:rFonts w:hint="eastAsia" w:ascii="宋体" w:hAnsi="宋体" w:eastAsia="宋体" w:cs="宋体"/>
                <w:i w:val="0"/>
                <w:color w:val="000000"/>
                <w:sz w:val="21"/>
                <w:szCs w:val="21"/>
                <w:u w:val="none"/>
              </w:rPr>
            </w:pPr>
          </w:p>
        </w:tc>
        <w:tc>
          <w:tcPr>
            <w:tcW w:w="2048"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序号</w:t>
            </w:r>
          </w:p>
        </w:tc>
        <w:tc>
          <w:tcPr>
            <w:tcW w:w="29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项  目</w:t>
            </w:r>
          </w:p>
        </w:tc>
        <w:tc>
          <w:tcPr>
            <w:tcW w:w="947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7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29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21"/>
                <w:szCs w:val="21"/>
                <w:u w:val="none"/>
              </w:rPr>
            </w:pPr>
          </w:p>
        </w:tc>
        <w:tc>
          <w:tcPr>
            <w:tcW w:w="14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合计</w:t>
            </w:r>
          </w:p>
        </w:tc>
        <w:tc>
          <w:tcPr>
            <w:tcW w:w="2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一般公共预算财政拨款</w:t>
            </w: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政府性基金财政拨款</w:t>
            </w:r>
          </w:p>
        </w:tc>
        <w:tc>
          <w:tcPr>
            <w:tcW w:w="20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国有资本经营预算财政拨款</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财政专户核拨资金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85" w:hRule="atLeast"/>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栏次</w:t>
            </w:r>
          </w:p>
        </w:tc>
        <w:tc>
          <w:tcPr>
            <w:tcW w:w="29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1</w:t>
            </w:r>
          </w:p>
        </w:tc>
        <w:tc>
          <w:tcPr>
            <w:tcW w:w="14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2</w:t>
            </w:r>
          </w:p>
        </w:tc>
        <w:tc>
          <w:tcPr>
            <w:tcW w:w="2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3</w:t>
            </w: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4</w:t>
            </w:r>
          </w:p>
        </w:tc>
        <w:tc>
          <w:tcPr>
            <w:tcW w:w="20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5</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85" w:hRule="atLeast"/>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p>
        </w:tc>
        <w:tc>
          <w:tcPr>
            <w:tcW w:w="29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合计</w:t>
            </w:r>
          </w:p>
        </w:tc>
        <w:tc>
          <w:tcPr>
            <w:tcW w:w="14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79.00</w:t>
            </w:r>
          </w:p>
        </w:tc>
        <w:tc>
          <w:tcPr>
            <w:tcW w:w="2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79.00</w:t>
            </w: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1"/>
                <w:szCs w:val="21"/>
                <w:u w:val="none"/>
              </w:rPr>
            </w:pPr>
          </w:p>
        </w:tc>
        <w:tc>
          <w:tcPr>
            <w:tcW w:w="20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1"/>
                <w:szCs w:val="21"/>
                <w:u w:val="none"/>
              </w:rPr>
            </w:pP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b/>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85" w:hRule="atLeast"/>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w:t>
            </w:r>
          </w:p>
        </w:tc>
        <w:tc>
          <w:tcPr>
            <w:tcW w:w="29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3"/>
                <w:rFonts w:hint="eastAsia" w:ascii="宋体" w:hAnsi="宋体" w:eastAsia="宋体" w:cs="宋体"/>
                <w:sz w:val="21"/>
                <w:szCs w:val="21"/>
                <w:lang w:val="en-US" w:eastAsia="zh-CN" w:bidi="ar"/>
              </w:rPr>
              <w:t>一、因公出国（境）费</w:t>
            </w:r>
          </w:p>
        </w:tc>
        <w:tc>
          <w:tcPr>
            <w:tcW w:w="147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0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0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85" w:hRule="atLeast"/>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w:t>
            </w:r>
          </w:p>
        </w:tc>
        <w:tc>
          <w:tcPr>
            <w:tcW w:w="29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3"/>
                <w:rFonts w:hint="eastAsia" w:ascii="宋体" w:hAnsi="宋体" w:eastAsia="宋体" w:cs="宋体"/>
                <w:sz w:val="21"/>
                <w:szCs w:val="21"/>
                <w:lang w:val="en-US" w:eastAsia="zh-CN" w:bidi="ar"/>
              </w:rPr>
              <w:t>二、公务用车购置及运维费</w:t>
            </w:r>
          </w:p>
        </w:tc>
        <w:tc>
          <w:tcPr>
            <w:tcW w:w="14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79.00</w:t>
            </w:r>
          </w:p>
        </w:tc>
        <w:tc>
          <w:tcPr>
            <w:tcW w:w="2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79.00</w:t>
            </w: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0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85" w:hRule="atLeast"/>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4</w:t>
            </w:r>
          </w:p>
        </w:tc>
        <w:tc>
          <w:tcPr>
            <w:tcW w:w="29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w:t>
            </w:r>
            <w:r>
              <w:rPr>
                <w:rStyle w:val="13"/>
                <w:rFonts w:hint="eastAsia" w:ascii="宋体" w:hAnsi="宋体" w:eastAsia="宋体" w:cs="宋体"/>
                <w:sz w:val="21"/>
                <w:szCs w:val="21"/>
                <w:lang w:val="en-US" w:eastAsia="zh-CN" w:bidi="ar"/>
              </w:rPr>
              <w:t>其中：公务用车购置费</w:t>
            </w:r>
          </w:p>
        </w:tc>
        <w:tc>
          <w:tcPr>
            <w:tcW w:w="147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0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0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85" w:hRule="atLeast"/>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5</w:t>
            </w:r>
          </w:p>
        </w:tc>
        <w:tc>
          <w:tcPr>
            <w:tcW w:w="29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w:t>
            </w:r>
            <w:r>
              <w:rPr>
                <w:rStyle w:val="13"/>
                <w:rFonts w:hint="eastAsia" w:ascii="宋体" w:hAnsi="宋体" w:eastAsia="宋体" w:cs="宋体"/>
                <w:sz w:val="21"/>
                <w:szCs w:val="21"/>
                <w:lang w:val="en-US" w:eastAsia="zh-CN" w:bidi="ar"/>
              </w:rPr>
              <w:t>公务用车运行费</w:t>
            </w:r>
          </w:p>
        </w:tc>
        <w:tc>
          <w:tcPr>
            <w:tcW w:w="14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79.00</w:t>
            </w:r>
          </w:p>
        </w:tc>
        <w:tc>
          <w:tcPr>
            <w:tcW w:w="2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79.00</w:t>
            </w: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0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85" w:hRule="atLeast"/>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6</w:t>
            </w:r>
          </w:p>
        </w:tc>
        <w:tc>
          <w:tcPr>
            <w:tcW w:w="29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Style w:val="13"/>
                <w:rFonts w:hint="eastAsia" w:ascii="宋体" w:hAnsi="宋体" w:eastAsia="宋体" w:cs="宋体"/>
                <w:sz w:val="21"/>
                <w:szCs w:val="21"/>
                <w:lang w:val="en-US" w:eastAsia="zh-CN" w:bidi="ar"/>
              </w:rPr>
              <w:t>三、公务接待费</w:t>
            </w:r>
          </w:p>
        </w:tc>
        <w:tc>
          <w:tcPr>
            <w:tcW w:w="147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0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20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1"/>
                <w:szCs w:val="21"/>
                <w:u w:val="none"/>
              </w:rPr>
            </w:pPr>
          </w:p>
        </w:tc>
      </w:tr>
    </w:tbl>
    <w:p>
      <w:pPr>
        <w:spacing w:line="536" w:lineRule="exact"/>
        <w:ind w:right="-879"/>
        <w:rPr>
          <w:rFonts w:hint="eastAsia" w:ascii="宋体" w:hAnsi="宋体"/>
          <w:sz w:val="44"/>
        </w:rPr>
      </w:pPr>
    </w:p>
    <w:p>
      <w:pPr>
        <w:spacing w:line="536" w:lineRule="exact"/>
        <w:ind w:right="-879"/>
        <w:rPr>
          <w:rFonts w:hint="eastAsia" w:ascii="宋体" w:hAnsi="宋体"/>
          <w:sz w:val="44"/>
        </w:rPr>
      </w:pPr>
    </w:p>
    <w:p>
      <w:pPr>
        <w:spacing w:line="536" w:lineRule="exact"/>
        <w:ind w:right="-879"/>
        <w:rPr>
          <w:rFonts w:hint="eastAsia" w:ascii="宋体" w:hAnsi="宋体" w:eastAsia="宋体" w:cs="宋体"/>
          <w:sz w:val="32"/>
          <w:szCs w:val="32"/>
        </w:rPr>
      </w:pPr>
    </w:p>
    <w:p>
      <w:pPr>
        <w:spacing w:line="536" w:lineRule="exact"/>
        <w:ind w:right="-879"/>
        <w:rPr>
          <w:rFonts w:hint="eastAsia" w:ascii="宋体" w:hAnsi="宋体" w:eastAsia="宋体" w:cs="宋体"/>
          <w:sz w:val="32"/>
          <w:szCs w:val="32"/>
        </w:rPr>
      </w:pPr>
    </w:p>
    <w:p>
      <w:pPr>
        <w:spacing w:line="536" w:lineRule="exact"/>
        <w:ind w:right="-879"/>
        <w:rPr>
          <w:rFonts w:hint="eastAsia" w:ascii="宋体" w:hAnsi="宋体" w:eastAsia="宋体" w:cs="宋体"/>
          <w:sz w:val="32"/>
          <w:szCs w:val="32"/>
        </w:rPr>
      </w:pPr>
    </w:p>
    <w:p>
      <w:pPr>
        <w:spacing w:line="536" w:lineRule="exact"/>
        <w:ind w:right="-879"/>
        <w:rPr>
          <w:rFonts w:hint="eastAsia" w:ascii="宋体" w:hAnsi="宋体" w:eastAsia="宋体" w:cs="宋体"/>
          <w:sz w:val="32"/>
          <w:szCs w:val="32"/>
        </w:rPr>
      </w:pPr>
    </w:p>
    <w:p>
      <w:pPr>
        <w:spacing w:line="536" w:lineRule="exact"/>
        <w:ind w:right="-879"/>
        <w:rPr>
          <w:rFonts w:hint="eastAsia" w:ascii="宋体" w:hAnsi="宋体" w:eastAsia="宋体" w:cs="宋体"/>
          <w:sz w:val="32"/>
          <w:szCs w:val="32"/>
        </w:rPr>
      </w:pPr>
    </w:p>
    <w:p>
      <w:pPr>
        <w:spacing w:line="536" w:lineRule="exact"/>
        <w:ind w:right="-879"/>
        <w:rPr>
          <w:rFonts w:hint="eastAsia" w:ascii="宋体" w:hAnsi="宋体" w:eastAsia="宋体" w:cs="宋体"/>
          <w:sz w:val="32"/>
          <w:szCs w:val="32"/>
        </w:rPr>
      </w:pPr>
    </w:p>
    <w:p>
      <w:pPr>
        <w:spacing w:line="536" w:lineRule="exact"/>
        <w:ind w:right="-879"/>
        <w:rPr>
          <w:rFonts w:hint="eastAsia" w:ascii="宋体" w:hAnsi="宋体" w:eastAsia="宋体" w:cs="宋体"/>
          <w:sz w:val="32"/>
          <w:szCs w:val="32"/>
        </w:rPr>
      </w:pPr>
    </w:p>
    <w:p>
      <w:pPr>
        <w:spacing w:line="536" w:lineRule="exact"/>
        <w:ind w:right="-879"/>
        <w:rPr>
          <w:rFonts w:hint="eastAsia" w:ascii="宋体" w:hAnsi="宋体" w:eastAsia="宋体" w:cs="宋体"/>
          <w:sz w:val="32"/>
          <w:szCs w:val="32"/>
        </w:rPr>
      </w:pPr>
    </w:p>
    <w:p>
      <w:pPr>
        <w:spacing w:line="536" w:lineRule="exact"/>
        <w:ind w:right="-879"/>
        <w:rPr>
          <w:rFonts w:hint="eastAsia" w:ascii="宋体" w:hAnsi="宋体" w:eastAsia="宋体" w:cs="宋体"/>
          <w:sz w:val="32"/>
          <w:szCs w:val="32"/>
        </w:rPr>
      </w:pPr>
    </w:p>
    <w:p>
      <w:pPr>
        <w:spacing w:line="536" w:lineRule="exact"/>
        <w:ind w:right="-879"/>
        <w:rPr>
          <w:rFonts w:hint="eastAsia" w:ascii="宋体" w:hAnsi="宋体" w:eastAsia="宋体" w:cs="宋体"/>
          <w:sz w:val="32"/>
          <w:szCs w:val="32"/>
        </w:rPr>
      </w:pPr>
    </w:p>
    <w:p>
      <w:pPr>
        <w:spacing w:line="536" w:lineRule="exact"/>
        <w:ind w:right="-879"/>
        <w:rPr>
          <w:rFonts w:hint="eastAsia" w:ascii="宋体" w:hAnsi="宋体" w:eastAsia="宋体" w:cs="宋体"/>
          <w:sz w:val="32"/>
          <w:szCs w:val="32"/>
        </w:rPr>
      </w:pPr>
    </w:p>
    <w:p>
      <w:pPr>
        <w:spacing w:line="536" w:lineRule="exact"/>
        <w:ind w:right="-879"/>
        <w:rPr>
          <w:rFonts w:hint="eastAsia" w:ascii="宋体" w:hAnsi="宋体" w:eastAsia="宋体" w:cs="宋体"/>
          <w:b/>
          <w:bCs/>
          <w:sz w:val="36"/>
          <w:szCs w:val="36"/>
        </w:rPr>
      </w:pPr>
    </w:p>
    <w:p>
      <w:pPr>
        <w:spacing w:line="536" w:lineRule="exact"/>
        <w:ind w:right="-879"/>
        <w:rPr>
          <w:rFonts w:hint="eastAsia" w:ascii="宋体" w:hAnsi="宋体" w:eastAsia="宋体" w:cs="宋体"/>
          <w:b/>
          <w:bCs/>
          <w:sz w:val="36"/>
          <w:szCs w:val="36"/>
        </w:rPr>
      </w:pPr>
    </w:p>
    <w:p>
      <w:pPr>
        <w:spacing w:line="536" w:lineRule="exact"/>
        <w:ind w:right="-879"/>
        <w:rPr>
          <w:rFonts w:hint="eastAsia" w:ascii="宋体" w:hAnsi="宋体" w:eastAsia="宋体" w:cs="宋体"/>
          <w:b/>
          <w:bCs/>
          <w:sz w:val="36"/>
          <w:szCs w:val="36"/>
        </w:rPr>
      </w:pPr>
    </w:p>
    <w:p>
      <w:pPr>
        <w:spacing w:line="536" w:lineRule="exact"/>
        <w:ind w:right="-879"/>
        <w:rPr>
          <w:rFonts w:hint="eastAsia" w:ascii="宋体" w:hAnsi="宋体" w:eastAsia="宋体" w:cs="宋体"/>
          <w:b/>
          <w:bCs/>
          <w:sz w:val="36"/>
          <w:szCs w:val="36"/>
        </w:rPr>
      </w:pPr>
      <w:r>
        <w:rPr>
          <w:rFonts w:hint="eastAsia" w:ascii="宋体" w:hAnsi="宋体" w:eastAsia="宋体" w:cs="宋体"/>
          <w:b/>
          <w:bCs/>
          <w:sz w:val="36"/>
          <w:szCs w:val="36"/>
        </w:rPr>
        <w:t>二、</w:t>
      </w:r>
      <w:r>
        <w:rPr>
          <w:rFonts w:hint="eastAsia" w:ascii="宋体" w:hAnsi="宋体" w:eastAsia="宋体" w:cs="宋体"/>
          <w:b/>
          <w:bCs/>
          <w:sz w:val="36"/>
          <w:szCs w:val="36"/>
          <w:lang w:eastAsia="zh-CN"/>
        </w:rPr>
        <w:t>2018</w:t>
      </w:r>
      <w:r>
        <w:rPr>
          <w:rFonts w:hint="eastAsia" w:ascii="宋体" w:hAnsi="宋体" w:eastAsia="宋体" w:cs="宋体"/>
          <w:b/>
          <w:bCs/>
          <w:sz w:val="36"/>
          <w:szCs w:val="36"/>
        </w:rPr>
        <w:t>年预算说明</w:t>
      </w:r>
    </w:p>
    <w:p>
      <w:pPr>
        <w:spacing w:line="400" w:lineRule="exact"/>
        <w:ind w:firstLine="640" w:firstLineChars="200"/>
        <w:rPr>
          <w:rFonts w:asciiTheme="majorEastAsia" w:hAnsiTheme="majorEastAsia" w:eastAsiaTheme="majorEastAsia"/>
          <w:sz w:val="32"/>
        </w:rPr>
      </w:pPr>
      <w:r>
        <w:rPr>
          <w:rFonts w:asciiTheme="majorEastAsia" w:hAnsiTheme="majorEastAsia" w:eastAsiaTheme="majorEastAsia"/>
          <w:sz w:val="32"/>
        </w:rPr>
        <w:t>按照《预算法》、《地方预决算公开操作规程》和《河北省省级预算公开办法》规定，现将</w:t>
      </w:r>
      <w:r>
        <w:rPr>
          <w:rFonts w:hint="eastAsia" w:asciiTheme="majorEastAsia" w:hAnsiTheme="majorEastAsia" w:eastAsiaTheme="majorEastAsia"/>
          <w:sz w:val="32"/>
        </w:rPr>
        <w:t>西柏坡纪念馆</w:t>
      </w:r>
      <w:r>
        <w:rPr>
          <w:rFonts w:asciiTheme="majorEastAsia" w:hAnsiTheme="majorEastAsia" w:eastAsiaTheme="majorEastAsia"/>
          <w:sz w:val="32"/>
        </w:rPr>
        <w:t>2018 年部门预算公开如下：</w:t>
      </w:r>
    </w:p>
    <w:p>
      <w:pPr>
        <w:spacing w:line="400" w:lineRule="exact"/>
        <w:ind w:firstLine="640" w:firstLineChars="200"/>
        <w:rPr>
          <w:rFonts w:asciiTheme="majorEastAsia" w:hAnsiTheme="majorEastAsia" w:eastAsiaTheme="majorEastAsia"/>
          <w:sz w:val="32"/>
        </w:rPr>
      </w:pPr>
      <w:r>
        <w:rPr>
          <w:rFonts w:hint="eastAsia" w:asciiTheme="majorEastAsia" w:hAnsiTheme="majorEastAsia" w:eastAsiaTheme="majorEastAsia"/>
          <w:sz w:val="32"/>
          <w:lang w:val="en-US" w:eastAsia="zh-CN"/>
        </w:rPr>
        <w:t>1、</w:t>
      </w:r>
      <w:r>
        <w:rPr>
          <w:rFonts w:asciiTheme="majorEastAsia" w:hAnsiTheme="majorEastAsia" w:eastAsiaTheme="majorEastAsia"/>
          <w:sz w:val="32"/>
        </w:rPr>
        <w:t>部门职责及机构设置情况</w:t>
      </w:r>
    </w:p>
    <w:p>
      <w:pPr>
        <w:spacing w:line="400" w:lineRule="exact"/>
        <w:ind w:firstLine="643" w:firstLineChars="200"/>
        <w:rPr>
          <w:rFonts w:asciiTheme="majorEastAsia" w:hAnsiTheme="majorEastAsia" w:eastAsiaTheme="majorEastAsia"/>
          <w:b/>
          <w:sz w:val="32"/>
        </w:rPr>
      </w:pPr>
      <w:r>
        <w:rPr>
          <w:rFonts w:asciiTheme="majorEastAsia" w:hAnsiTheme="majorEastAsia" w:eastAsiaTheme="majorEastAsia"/>
          <w:b/>
          <w:sz w:val="32"/>
        </w:rPr>
        <w:t>部门职责：</w:t>
      </w:r>
    </w:p>
    <w:p>
      <w:pPr>
        <w:spacing w:line="400" w:lineRule="exact"/>
        <w:ind w:firstLine="640" w:firstLineChars="200"/>
        <w:rPr>
          <w:rFonts w:asciiTheme="majorEastAsia" w:hAnsiTheme="majorEastAsia" w:eastAsiaTheme="majorEastAsia"/>
          <w:sz w:val="32"/>
          <w:szCs w:val="32"/>
        </w:rPr>
      </w:pPr>
      <w:r>
        <w:rPr>
          <w:rFonts w:asciiTheme="majorEastAsia" w:hAnsiTheme="majorEastAsia" w:eastAsiaTheme="majorEastAsia"/>
          <w:sz w:val="32"/>
          <w:szCs w:val="32"/>
        </w:rPr>
        <w:t>西柏坡纪念馆是中宣部命名的全国爱国主义教育示范基地、国家一级博物馆和国家AAAAA级旅游景区，是石家庄市乃至河北省对外交往的重要窗口单位，是国家精神文明建设的重要阵地。主要担负着向全国人民进行爱国主义和革命传统教育的重要任务。</w:t>
      </w:r>
    </w:p>
    <w:p>
      <w:pPr>
        <w:spacing w:line="400" w:lineRule="exact"/>
        <w:ind w:firstLine="640" w:firstLineChars="200"/>
        <w:rPr>
          <w:rFonts w:asciiTheme="majorEastAsia" w:hAnsiTheme="majorEastAsia" w:eastAsiaTheme="majorEastAsia"/>
          <w:sz w:val="32"/>
          <w:szCs w:val="32"/>
        </w:rPr>
      </w:pPr>
      <w:r>
        <w:rPr>
          <w:rFonts w:asciiTheme="majorEastAsia" w:hAnsiTheme="majorEastAsia" w:eastAsiaTheme="majorEastAsia"/>
          <w:sz w:val="32"/>
          <w:szCs w:val="32"/>
        </w:rPr>
        <w:t>职责一、</w:t>
      </w:r>
      <w:r>
        <w:rPr>
          <w:rFonts w:asciiTheme="majorEastAsia" w:hAnsiTheme="majorEastAsia" w:eastAsiaTheme="majorEastAsia"/>
          <w:color w:val="000000"/>
          <w:sz w:val="32"/>
          <w:szCs w:val="32"/>
        </w:rPr>
        <w:t>开展爱国主义教育、廉政教育、国家安全教育和革命传统教育等相关工作。通过爱国主义教育和革命传统的宣传和教育活动，大力发扬西柏坡精神，弘扬社会主义正气和践行社会主义核心价值观</w:t>
      </w:r>
    </w:p>
    <w:p>
      <w:pPr>
        <w:spacing w:line="400" w:lineRule="exact"/>
        <w:ind w:firstLine="640" w:firstLineChars="200"/>
        <w:rPr>
          <w:rFonts w:asciiTheme="majorEastAsia" w:hAnsiTheme="majorEastAsia" w:eastAsiaTheme="majorEastAsia"/>
          <w:sz w:val="32"/>
          <w:szCs w:val="32"/>
        </w:rPr>
      </w:pPr>
      <w:r>
        <w:rPr>
          <w:rFonts w:asciiTheme="majorEastAsia" w:hAnsiTheme="majorEastAsia" w:eastAsiaTheme="majorEastAsia"/>
          <w:sz w:val="32"/>
          <w:szCs w:val="32"/>
        </w:rPr>
        <w:t>职责二、</w:t>
      </w:r>
      <w:r>
        <w:rPr>
          <w:rFonts w:asciiTheme="majorEastAsia" w:hAnsiTheme="majorEastAsia" w:eastAsiaTheme="majorEastAsia"/>
          <w:color w:val="000000"/>
          <w:sz w:val="32"/>
          <w:szCs w:val="32"/>
        </w:rPr>
        <w:t>综合业务管理。改善、管理和发展硬件、软件建设，后勤保障及其他各项基础性保障工作，确保各项业务工作谋划到位，顺利进行开展，保障机关工作正常高效运转。</w:t>
      </w:r>
    </w:p>
    <w:p>
      <w:pPr>
        <w:spacing w:line="400" w:lineRule="exact"/>
        <w:ind w:firstLine="640" w:firstLineChars="200"/>
        <w:rPr>
          <w:rFonts w:asciiTheme="majorEastAsia" w:hAnsiTheme="majorEastAsia" w:eastAsiaTheme="majorEastAsia"/>
          <w:sz w:val="32"/>
          <w:szCs w:val="32"/>
        </w:rPr>
      </w:pPr>
      <w:r>
        <w:rPr>
          <w:rFonts w:asciiTheme="majorEastAsia" w:hAnsiTheme="majorEastAsia" w:eastAsiaTheme="majorEastAsia"/>
          <w:sz w:val="32"/>
          <w:szCs w:val="32"/>
        </w:rPr>
        <w:t>职责三、</w:t>
      </w:r>
      <w:r>
        <w:rPr>
          <w:rFonts w:asciiTheme="majorEastAsia" w:hAnsiTheme="majorEastAsia" w:eastAsiaTheme="majorEastAsia"/>
          <w:color w:val="000000"/>
          <w:sz w:val="32"/>
          <w:szCs w:val="32"/>
        </w:rPr>
        <w:t>接待服务工作。博物馆事业食宿配套措施，解决了观众食宿问题。</w:t>
      </w:r>
    </w:p>
    <w:p>
      <w:pPr>
        <w:spacing w:line="400" w:lineRule="exact"/>
        <w:ind w:firstLine="472" w:firstLineChars="147"/>
        <w:rPr>
          <w:rFonts w:asciiTheme="majorEastAsia" w:hAnsiTheme="majorEastAsia" w:eastAsiaTheme="majorEastAsia"/>
          <w:b/>
          <w:sz w:val="32"/>
        </w:rPr>
      </w:pPr>
      <w:r>
        <w:rPr>
          <w:rFonts w:asciiTheme="majorEastAsia" w:hAnsiTheme="majorEastAsia" w:eastAsiaTheme="majorEastAsia"/>
          <w:b/>
          <w:sz w:val="32"/>
        </w:rPr>
        <w:t>机构设置：</w:t>
      </w:r>
    </w:p>
    <w:p>
      <w:pPr>
        <w:spacing w:line="400" w:lineRule="exact"/>
        <w:ind w:left="840"/>
        <w:rPr>
          <w:rFonts w:asciiTheme="majorEastAsia" w:hAnsiTheme="majorEastAsia" w:eastAsiaTheme="majorEastAsia"/>
          <w:sz w:val="32"/>
        </w:rPr>
      </w:pPr>
      <w:r>
        <w:rPr>
          <w:rFonts w:hint="eastAsia" w:asciiTheme="majorEastAsia" w:hAnsiTheme="majorEastAsia" w:eastAsiaTheme="majorEastAsia"/>
          <w:sz w:val="32"/>
        </w:rPr>
        <w:t xml:space="preserve">                              </w:t>
      </w:r>
      <w:r>
        <w:rPr>
          <w:rFonts w:asciiTheme="majorEastAsia" w:hAnsiTheme="majorEastAsia" w:eastAsiaTheme="majorEastAsia"/>
          <w:sz w:val="32"/>
        </w:rPr>
        <w:t>部门机构设置情况</w:t>
      </w:r>
    </w:p>
    <w:p>
      <w:pPr>
        <w:spacing w:line="258" w:lineRule="exact"/>
        <w:rPr>
          <w:rFonts w:ascii="Times New Roman" w:hAnsi="Times New Roman"/>
        </w:rPr>
      </w:pPr>
    </w:p>
    <w:tbl>
      <w:tblPr>
        <w:tblStyle w:val="5"/>
        <w:tblpPr w:leftFromText="180" w:rightFromText="180" w:vertAnchor="text" w:horzAnchor="margin" w:tblpXSpec="center" w:tblpY="153"/>
        <w:tblW w:w="9776"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7"/>
        <w:gridCol w:w="1432"/>
        <w:gridCol w:w="1845"/>
        <w:gridCol w:w="385"/>
        <w:gridCol w:w="2990"/>
        <w:gridCol w:w="8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817" w:type="dxa"/>
          <w:trHeight w:val="227" w:hRule="atLeast"/>
          <w:tblHeader/>
        </w:trPr>
        <w:tc>
          <w:tcPr>
            <w:tcW w:w="5969" w:type="dxa"/>
            <w:gridSpan w:val="4"/>
            <w:tcBorders>
              <w:top w:val="single" w:color="FFFFFF" w:sz="6" w:space="0"/>
              <w:left w:val="single" w:color="FFFFFF" w:sz="6" w:space="0"/>
              <w:right w:val="single" w:color="FFFFFF" w:sz="6" w:space="0"/>
            </w:tcBorders>
            <w:vAlign w:val="center"/>
          </w:tcPr>
          <w:p>
            <w:pPr>
              <w:spacing w:line="300" w:lineRule="exact"/>
              <w:rPr>
                <w:rFonts w:ascii="方正小标宋_GBK" w:eastAsia="方正小标宋_GBK"/>
                <w:sz w:val="24"/>
              </w:rPr>
            </w:pPr>
          </w:p>
        </w:tc>
        <w:tc>
          <w:tcPr>
            <w:tcW w:w="2990" w:type="dxa"/>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12" w:hRule="atLeast"/>
          <w:tblHeader/>
        </w:trPr>
        <w:tc>
          <w:tcPr>
            <w:tcW w:w="230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43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845"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4192" w:type="dxa"/>
            <w:gridSpan w:val="3"/>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12" w:hRule="atLeast"/>
          <w:tblHeader/>
        </w:trPr>
        <w:tc>
          <w:tcPr>
            <w:tcW w:w="2307" w:type="dxa"/>
            <w:vMerge w:val="continue"/>
            <w:vAlign w:val="center"/>
          </w:tcPr>
          <w:p>
            <w:pPr>
              <w:spacing w:line="300" w:lineRule="exact"/>
              <w:outlineLvl w:val="0"/>
            </w:pPr>
          </w:p>
        </w:tc>
        <w:tc>
          <w:tcPr>
            <w:tcW w:w="1432" w:type="dxa"/>
            <w:vMerge w:val="continue"/>
            <w:vAlign w:val="center"/>
          </w:tcPr>
          <w:p>
            <w:pPr>
              <w:spacing w:line="300" w:lineRule="exact"/>
              <w:outlineLvl w:val="0"/>
            </w:pPr>
          </w:p>
        </w:tc>
        <w:tc>
          <w:tcPr>
            <w:tcW w:w="1845" w:type="dxa"/>
            <w:vMerge w:val="continue"/>
            <w:vAlign w:val="center"/>
          </w:tcPr>
          <w:p>
            <w:pPr>
              <w:spacing w:line="300" w:lineRule="exact"/>
              <w:outlineLvl w:val="0"/>
            </w:pPr>
          </w:p>
        </w:tc>
        <w:tc>
          <w:tcPr>
            <w:tcW w:w="4192" w:type="dxa"/>
            <w:gridSpan w:val="3"/>
            <w:vMerge w:val="continue"/>
            <w:vAlign w:val="center"/>
          </w:tcPr>
          <w:p>
            <w:pPr>
              <w:spacing w:line="300" w:lineRule="exac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rPr>
        <w:tc>
          <w:tcPr>
            <w:tcW w:w="2307" w:type="dxa"/>
            <w:vAlign w:val="center"/>
          </w:tcPr>
          <w:p>
            <w:pPr>
              <w:spacing w:line="300" w:lineRule="exact"/>
              <w:rPr>
                <w:rFonts w:ascii="方正书宋_GBK" w:eastAsia="方正书宋_GBK"/>
                <w:b/>
              </w:rPr>
            </w:pPr>
            <w:r>
              <w:rPr>
                <w:rFonts w:hint="eastAsia" w:ascii="方正书宋_GBK" w:eastAsia="方正书宋_GBK"/>
                <w:b/>
              </w:rPr>
              <w:t>西柏坡纪念馆</w:t>
            </w:r>
          </w:p>
        </w:tc>
        <w:tc>
          <w:tcPr>
            <w:tcW w:w="1432" w:type="dxa"/>
            <w:vAlign w:val="center"/>
          </w:tcPr>
          <w:p>
            <w:pPr>
              <w:spacing w:line="300" w:lineRule="exact"/>
              <w:rPr>
                <w:rFonts w:ascii="方正书宋_GBK" w:eastAsia="方正书宋_GBK"/>
                <w:b/>
              </w:rPr>
            </w:pPr>
            <w:r>
              <w:rPr>
                <w:rFonts w:hint="eastAsia" w:ascii="方正书宋_GBK" w:eastAsia="方正书宋_GBK"/>
                <w:b/>
              </w:rPr>
              <w:t>事业</w:t>
            </w:r>
          </w:p>
        </w:tc>
        <w:tc>
          <w:tcPr>
            <w:tcW w:w="1845" w:type="dxa"/>
            <w:vAlign w:val="center"/>
          </w:tcPr>
          <w:p>
            <w:pPr>
              <w:spacing w:line="300" w:lineRule="exact"/>
              <w:rPr>
                <w:rFonts w:ascii="方正书宋_GBK" w:eastAsia="方正书宋_GBK"/>
                <w:b/>
              </w:rPr>
            </w:pPr>
            <w:r>
              <w:rPr>
                <w:rFonts w:hint="eastAsia" w:ascii="方正书宋_GBK" w:eastAsia="方正书宋_GBK"/>
                <w:b/>
              </w:rPr>
              <w:t>正处级</w:t>
            </w:r>
          </w:p>
        </w:tc>
        <w:tc>
          <w:tcPr>
            <w:tcW w:w="4192" w:type="dxa"/>
            <w:gridSpan w:val="3"/>
            <w:vAlign w:val="center"/>
          </w:tcPr>
          <w:p>
            <w:pPr>
              <w:spacing w:line="300" w:lineRule="exact"/>
              <w:rPr>
                <w:rFonts w:ascii="方正书宋_GBK" w:eastAsia="方正书宋_GBK"/>
                <w:b/>
              </w:rPr>
            </w:pPr>
            <w:r>
              <w:rPr>
                <w:rFonts w:hint="eastAsia" w:ascii="方正书宋_GBK" w:eastAsia="方正书宋_GBK"/>
                <w:b/>
              </w:rPr>
              <w:t>财政性资金基本保证</w:t>
            </w:r>
          </w:p>
        </w:tc>
      </w:tr>
    </w:tbl>
    <w:p>
      <w:pPr>
        <w:spacing w:line="400" w:lineRule="exact"/>
        <w:rPr>
          <w:rFonts w:hint="eastAsia" w:asciiTheme="majorEastAsia" w:hAnsiTheme="majorEastAsia" w:eastAsiaTheme="majorEastAsia"/>
          <w:sz w:val="32"/>
          <w:szCs w:val="32"/>
          <w:lang w:val="en-US" w:eastAsia="zh-CN"/>
        </w:rPr>
      </w:pPr>
      <w:bookmarkStart w:id="0" w:name="page4"/>
      <w:bookmarkEnd w:id="0"/>
    </w:p>
    <w:p>
      <w:pPr>
        <w:spacing w:line="400" w:lineRule="exact"/>
        <w:rPr>
          <w:rFonts w:hint="eastAsia" w:asciiTheme="majorEastAsia" w:hAnsiTheme="majorEastAsia" w:eastAsiaTheme="majorEastAsia"/>
          <w:sz w:val="32"/>
          <w:szCs w:val="32"/>
          <w:lang w:val="en-US" w:eastAsia="zh-CN"/>
        </w:rPr>
      </w:pPr>
    </w:p>
    <w:p>
      <w:pPr>
        <w:spacing w:line="400" w:lineRule="exact"/>
        <w:rPr>
          <w:rFonts w:hint="eastAsia" w:asciiTheme="majorEastAsia" w:hAnsiTheme="majorEastAsia" w:eastAsiaTheme="majorEastAsia"/>
          <w:sz w:val="32"/>
          <w:szCs w:val="32"/>
          <w:lang w:val="en-US" w:eastAsia="zh-CN"/>
        </w:rPr>
      </w:pPr>
    </w:p>
    <w:p>
      <w:pPr>
        <w:spacing w:line="400" w:lineRule="exact"/>
        <w:rPr>
          <w:rFonts w:hint="eastAsia" w:asciiTheme="majorEastAsia" w:hAnsiTheme="majorEastAsia" w:eastAsiaTheme="majorEastAsia"/>
          <w:sz w:val="32"/>
          <w:szCs w:val="32"/>
          <w:lang w:val="en-US" w:eastAsia="zh-CN"/>
        </w:rPr>
      </w:pPr>
    </w:p>
    <w:p>
      <w:pPr>
        <w:spacing w:line="400" w:lineRule="exact"/>
        <w:ind w:left="640" w:hanging="640" w:hangingChars="200"/>
        <w:rPr>
          <w:rFonts w:hint="eastAsia" w:asciiTheme="majorEastAsia" w:hAnsiTheme="majorEastAsia" w:eastAsiaTheme="majorEastAsia"/>
          <w:sz w:val="32"/>
          <w:szCs w:val="32"/>
          <w:lang w:val="en-US" w:eastAsia="zh-CN"/>
        </w:rPr>
      </w:pPr>
      <w:r>
        <w:rPr>
          <w:rFonts w:hint="eastAsia" w:asciiTheme="majorEastAsia" w:hAnsiTheme="majorEastAsia" w:eastAsiaTheme="majorEastAsia"/>
          <w:sz w:val="32"/>
          <w:szCs w:val="32"/>
          <w:lang w:val="en-US" w:eastAsia="zh-CN"/>
        </w:rPr>
        <w:t xml:space="preserve">        我单位为正处级财政性资金基本保证事业单位，内设机构有：办公室、财务科、开发部、行政科、市场部、研究部、保卫科、园林科、外联部、宣教部、监察室、国安馆、廉政馆、信息中心、中央部委旧址管理一部、二部、三部、陈保部共18个科室。</w:t>
      </w:r>
    </w:p>
    <w:p>
      <w:pPr>
        <w:spacing w:line="400" w:lineRule="exact"/>
        <w:ind w:firstLine="640" w:firstLineChars="200"/>
        <w:rPr>
          <w:rFonts w:asciiTheme="majorEastAsia" w:hAnsiTheme="majorEastAsia" w:eastAsiaTheme="majorEastAsia"/>
          <w:sz w:val="32"/>
          <w:szCs w:val="32"/>
        </w:rPr>
      </w:pPr>
      <w:r>
        <w:rPr>
          <w:rFonts w:hint="eastAsia" w:asciiTheme="majorEastAsia" w:hAnsiTheme="majorEastAsia" w:eastAsiaTheme="majorEastAsia"/>
          <w:sz w:val="32"/>
          <w:szCs w:val="32"/>
          <w:lang w:val="en-US" w:eastAsia="zh-CN"/>
        </w:rPr>
        <w:t>2、</w:t>
      </w:r>
      <w:r>
        <w:rPr>
          <w:rFonts w:asciiTheme="majorEastAsia" w:hAnsiTheme="majorEastAsia" w:eastAsiaTheme="majorEastAsia"/>
          <w:sz w:val="32"/>
          <w:szCs w:val="32"/>
        </w:rPr>
        <w:t>部门预算安排的总体情况</w:t>
      </w:r>
    </w:p>
    <w:p>
      <w:pPr>
        <w:spacing w:line="400" w:lineRule="exact"/>
        <w:ind w:firstLine="640" w:firstLineChars="200"/>
        <w:rPr>
          <w:rFonts w:asciiTheme="majorEastAsia" w:hAnsiTheme="majorEastAsia" w:eastAsiaTheme="majorEastAsia"/>
          <w:sz w:val="32"/>
          <w:szCs w:val="32"/>
        </w:rPr>
      </w:pPr>
      <w:r>
        <w:rPr>
          <w:rFonts w:asciiTheme="majorEastAsia" w:hAnsiTheme="majorEastAsia" w:eastAsiaTheme="majorEastAsia"/>
          <w:sz w:val="32"/>
          <w:szCs w:val="32"/>
        </w:rPr>
        <w:t>按照预算管理有关规定，目前我部门预算的编制实行综合预算制度，即全部收入和支出都反映</w:t>
      </w:r>
    </w:p>
    <w:p>
      <w:pPr>
        <w:spacing w:line="400" w:lineRule="exact"/>
        <w:rPr>
          <w:rFonts w:asciiTheme="majorEastAsia" w:hAnsiTheme="majorEastAsia" w:eastAsiaTheme="majorEastAsia"/>
          <w:sz w:val="32"/>
          <w:szCs w:val="32"/>
        </w:rPr>
      </w:pPr>
      <w:r>
        <w:rPr>
          <w:rFonts w:asciiTheme="majorEastAsia" w:hAnsiTheme="majorEastAsia" w:eastAsiaTheme="majorEastAsia"/>
          <w:sz w:val="32"/>
          <w:szCs w:val="32"/>
        </w:rPr>
        <w:t>在预算中。</w:t>
      </w:r>
    </w:p>
    <w:p>
      <w:pPr>
        <w:spacing w:line="400" w:lineRule="exact"/>
        <w:ind w:firstLine="320" w:firstLineChars="100"/>
        <w:rPr>
          <w:rFonts w:asciiTheme="majorEastAsia" w:hAnsiTheme="majorEastAsia" w:eastAsiaTheme="majorEastAsia"/>
          <w:sz w:val="32"/>
          <w:szCs w:val="32"/>
        </w:rPr>
      </w:pPr>
      <w:r>
        <w:rPr>
          <w:rFonts w:hint="eastAsia" w:asciiTheme="majorEastAsia" w:hAnsiTheme="majorEastAsia" w:eastAsiaTheme="majorEastAsia"/>
          <w:sz w:val="32"/>
          <w:szCs w:val="32"/>
          <w:lang w:eastAsia="zh-CN"/>
        </w:rPr>
        <w:t>（</w:t>
      </w:r>
      <w:r>
        <w:rPr>
          <w:rFonts w:hint="eastAsia" w:asciiTheme="majorEastAsia" w:hAnsiTheme="majorEastAsia" w:eastAsiaTheme="majorEastAsia"/>
          <w:sz w:val="32"/>
          <w:szCs w:val="32"/>
          <w:lang w:val="en-US" w:eastAsia="zh-CN"/>
        </w:rPr>
        <w:t>1</w:t>
      </w:r>
      <w:r>
        <w:rPr>
          <w:rFonts w:hint="eastAsia" w:asciiTheme="majorEastAsia" w:hAnsiTheme="majorEastAsia" w:eastAsiaTheme="majorEastAsia"/>
          <w:sz w:val="32"/>
          <w:szCs w:val="32"/>
          <w:lang w:eastAsia="zh-CN"/>
        </w:rPr>
        <w:t>）</w:t>
      </w:r>
      <w:r>
        <w:rPr>
          <w:rFonts w:asciiTheme="majorEastAsia" w:hAnsiTheme="majorEastAsia" w:eastAsiaTheme="majorEastAsia"/>
          <w:sz w:val="32"/>
          <w:szCs w:val="32"/>
        </w:rPr>
        <w:t>收入说明</w:t>
      </w:r>
    </w:p>
    <w:p>
      <w:pPr>
        <w:spacing w:line="400" w:lineRule="exact"/>
        <w:ind w:firstLine="641"/>
        <w:rPr>
          <w:rFonts w:asciiTheme="majorEastAsia" w:hAnsiTheme="majorEastAsia" w:eastAsiaTheme="majorEastAsia"/>
          <w:sz w:val="32"/>
          <w:szCs w:val="32"/>
        </w:rPr>
      </w:pPr>
      <w:r>
        <w:rPr>
          <w:rFonts w:asciiTheme="majorEastAsia" w:hAnsiTheme="majorEastAsia" w:eastAsiaTheme="majorEastAsia"/>
          <w:sz w:val="32"/>
          <w:szCs w:val="32"/>
        </w:rPr>
        <w:t>反映本部门当年全部收入。2018 年预算收入</w:t>
      </w:r>
      <w:r>
        <w:rPr>
          <w:rFonts w:hint="eastAsia" w:asciiTheme="majorEastAsia" w:hAnsiTheme="majorEastAsia" w:eastAsiaTheme="majorEastAsia"/>
          <w:sz w:val="32"/>
          <w:szCs w:val="32"/>
        </w:rPr>
        <w:t>4498.08</w:t>
      </w:r>
      <w:r>
        <w:rPr>
          <w:rFonts w:asciiTheme="majorEastAsia" w:hAnsiTheme="majorEastAsia" w:eastAsiaTheme="majorEastAsia"/>
          <w:sz w:val="32"/>
          <w:szCs w:val="32"/>
        </w:rPr>
        <w:t xml:space="preserve">万元，其中：一般公共预算收入 </w:t>
      </w:r>
      <w:r>
        <w:rPr>
          <w:rFonts w:hint="eastAsia" w:asciiTheme="majorEastAsia" w:hAnsiTheme="majorEastAsia" w:eastAsiaTheme="majorEastAsia"/>
          <w:sz w:val="32"/>
          <w:szCs w:val="32"/>
        </w:rPr>
        <w:t>4498.08</w:t>
      </w:r>
      <w:r>
        <w:rPr>
          <w:rFonts w:asciiTheme="majorEastAsia" w:hAnsiTheme="majorEastAsia" w:eastAsiaTheme="majorEastAsia"/>
          <w:sz w:val="32"/>
          <w:szCs w:val="32"/>
        </w:rPr>
        <w:t xml:space="preserve"> 万元，基金预算收入 0 万元，财政专户核拨收入 0 万元，其他来源收入</w:t>
      </w:r>
      <w:r>
        <w:rPr>
          <w:rFonts w:hint="eastAsia" w:asciiTheme="majorEastAsia" w:hAnsiTheme="majorEastAsia" w:eastAsiaTheme="majorEastAsia"/>
          <w:sz w:val="32"/>
          <w:szCs w:val="32"/>
          <w:lang w:val="en-US" w:eastAsia="zh-CN"/>
        </w:rPr>
        <w:t>0</w:t>
      </w:r>
      <w:r>
        <w:rPr>
          <w:rFonts w:hint="eastAsia" w:asciiTheme="majorEastAsia" w:hAnsiTheme="majorEastAsia" w:eastAsiaTheme="majorEastAsia"/>
          <w:sz w:val="32"/>
          <w:szCs w:val="32"/>
        </w:rPr>
        <w:t xml:space="preserve"> </w:t>
      </w:r>
      <w:r>
        <w:rPr>
          <w:rFonts w:asciiTheme="majorEastAsia" w:hAnsiTheme="majorEastAsia" w:eastAsiaTheme="majorEastAsia"/>
          <w:sz w:val="32"/>
          <w:szCs w:val="32"/>
        </w:rPr>
        <w:t>万元。</w:t>
      </w:r>
    </w:p>
    <w:p>
      <w:pPr>
        <w:spacing w:line="400" w:lineRule="exact"/>
        <w:ind w:firstLine="320" w:firstLineChars="100"/>
        <w:rPr>
          <w:rFonts w:hint="eastAsia" w:asciiTheme="majorEastAsia" w:hAnsiTheme="majorEastAsia" w:eastAsiaTheme="majorEastAsia"/>
          <w:sz w:val="32"/>
          <w:szCs w:val="32"/>
        </w:rPr>
      </w:pPr>
      <w:r>
        <w:rPr>
          <w:rFonts w:hint="eastAsia" w:asciiTheme="majorEastAsia" w:hAnsiTheme="majorEastAsia" w:eastAsiaTheme="majorEastAsia"/>
          <w:sz w:val="32"/>
          <w:szCs w:val="32"/>
          <w:lang w:eastAsia="zh-CN"/>
        </w:rPr>
        <w:t>（</w:t>
      </w:r>
      <w:r>
        <w:rPr>
          <w:rFonts w:hint="eastAsia" w:asciiTheme="majorEastAsia" w:hAnsiTheme="majorEastAsia" w:eastAsiaTheme="majorEastAsia"/>
          <w:sz w:val="32"/>
          <w:szCs w:val="32"/>
          <w:lang w:val="en-US" w:eastAsia="zh-CN"/>
        </w:rPr>
        <w:t>2</w:t>
      </w:r>
      <w:r>
        <w:rPr>
          <w:rFonts w:hint="eastAsia" w:asciiTheme="majorEastAsia" w:hAnsiTheme="majorEastAsia" w:eastAsiaTheme="majorEastAsia"/>
          <w:sz w:val="32"/>
          <w:szCs w:val="32"/>
          <w:lang w:eastAsia="zh-CN"/>
        </w:rPr>
        <w:t>）</w:t>
      </w:r>
      <w:r>
        <w:rPr>
          <w:rFonts w:asciiTheme="majorEastAsia" w:hAnsiTheme="majorEastAsia" w:eastAsiaTheme="majorEastAsia"/>
          <w:sz w:val="32"/>
          <w:szCs w:val="32"/>
        </w:rPr>
        <w:t>支出说明</w:t>
      </w:r>
    </w:p>
    <w:p>
      <w:pPr>
        <w:spacing w:line="400" w:lineRule="exact"/>
        <w:ind w:firstLine="640" w:firstLineChars="200"/>
        <w:rPr>
          <w:rFonts w:asciiTheme="majorEastAsia" w:hAnsiTheme="majorEastAsia" w:eastAsiaTheme="majorEastAsia"/>
          <w:sz w:val="32"/>
          <w:szCs w:val="32"/>
        </w:rPr>
      </w:pPr>
      <w:r>
        <w:rPr>
          <w:rFonts w:asciiTheme="majorEastAsia" w:hAnsiTheme="majorEastAsia" w:eastAsiaTheme="majorEastAsia"/>
          <w:sz w:val="32"/>
          <w:szCs w:val="32"/>
        </w:rPr>
        <w:t>收支预算总表支出栏、基本支出表、项目支出表按经济分类和支出功能分类科目编制，反映</w:t>
      </w:r>
      <w:r>
        <w:rPr>
          <w:rFonts w:hint="eastAsia" w:asciiTheme="majorEastAsia" w:hAnsiTheme="majorEastAsia" w:eastAsiaTheme="majorEastAsia"/>
          <w:sz w:val="32"/>
          <w:szCs w:val="32"/>
        </w:rPr>
        <w:t>西柏坡纪念馆</w:t>
      </w:r>
      <w:r>
        <w:rPr>
          <w:rFonts w:asciiTheme="majorEastAsia" w:hAnsiTheme="majorEastAsia" w:eastAsiaTheme="majorEastAsia"/>
          <w:sz w:val="32"/>
          <w:szCs w:val="32"/>
        </w:rPr>
        <w:t>年度部门预算中支出预算的总体情况。2018年支出预算</w:t>
      </w:r>
      <w:r>
        <w:rPr>
          <w:rFonts w:hint="eastAsia" w:asciiTheme="majorEastAsia" w:hAnsiTheme="majorEastAsia" w:eastAsiaTheme="majorEastAsia"/>
          <w:sz w:val="32"/>
          <w:szCs w:val="32"/>
        </w:rPr>
        <w:t>4498.08</w:t>
      </w:r>
      <w:r>
        <w:rPr>
          <w:rFonts w:asciiTheme="majorEastAsia" w:hAnsiTheme="majorEastAsia" w:eastAsiaTheme="majorEastAsia"/>
          <w:sz w:val="32"/>
          <w:szCs w:val="32"/>
        </w:rPr>
        <w:t>万元，其中基本支出</w:t>
      </w:r>
      <w:r>
        <w:rPr>
          <w:rFonts w:hint="eastAsia" w:asciiTheme="majorEastAsia" w:hAnsiTheme="majorEastAsia" w:eastAsiaTheme="majorEastAsia"/>
          <w:sz w:val="32"/>
          <w:szCs w:val="32"/>
        </w:rPr>
        <w:t>3078.88</w:t>
      </w:r>
      <w:r>
        <w:rPr>
          <w:rFonts w:asciiTheme="majorEastAsia" w:hAnsiTheme="majorEastAsia" w:eastAsiaTheme="majorEastAsia"/>
          <w:sz w:val="32"/>
          <w:szCs w:val="32"/>
        </w:rPr>
        <w:t xml:space="preserve"> </w:t>
      </w:r>
    </w:p>
    <w:p>
      <w:pPr>
        <w:spacing w:line="400" w:lineRule="exact"/>
        <w:jc w:val="both"/>
        <w:rPr>
          <w:rFonts w:asciiTheme="majorEastAsia" w:hAnsiTheme="majorEastAsia" w:eastAsiaTheme="majorEastAsia"/>
          <w:sz w:val="32"/>
          <w:szCs w:val="32"/>
        </w:rPr>
      </w:pPr>
      <w:bookmarkStart w:id="1" w:name="page5"/>
      <w:bookmarkEnd w:id="1"/>
      <w:r>
        <w:rPr>
          <w:rFonts w:asciiTheme="majorEastAsia" w:hAnsiTheme="majorEastAsia" w:eastAsiaTheme="majorEastAsia"/>
          <w:sz w:val="32"/>
          <w:szCs w:val="32"/>
        </w:rPr>
        <w:t>万元，包括人员经费</w:t>
      </w:r>
      <w:r>
        <w:rPr>
          <w:rFonts w:hint="eastAsia" w:asciiTheme="majorEastAsia" w:hAnsiTheme="majorEastAsia" w:eastAsiaTheme="majorEastAsia"/>
          <w:sz w:val="32"/>
          <w:szCs w:val="32"/>
        </w:rPr>
        <w:t>2818.30</w:t>
      </w:r>
      <w:r>
        <w:rPr>
          <w:rFonts w:asciiTheme="majorEastAsia" w:hAnsiTheme="majorEastAsia" w:eastAsiaTheme="majorEastAsia"/>
          <w:sz w:val="32"/>
          <w:szCs w:val="32"/>
        </w:rPr>
        <w:t>万元和日常公用经费</w:t>
      </w:r>
      <w:r>
        <w:rPr>
          <w:rFonts w:hint="eastAsia" w:asciiTheme="majorEastAsia" w:hAnsiTheme="majorEastAsia" w:eastAsiaTheme="majorEastAsia"/>
          <w:sz w:val="32"/>
          <w:szCs w:val="32"/>
        </w:rPr>
        <w:t>260.58</w:t>
      </w:r>
      <w:r>
        <w:rPr>
          <w:rFonts w:asciiTheme="majorEastAsia" w:hAnsiTheme="majorEastAsia" w:eastAsiaTheme="majorEastAsia"/>
          <w:sz w:val="32"/>
          <w:szCs w:val="32"/>
        </w:rPr>
        <w:t>万元；项目支出</w:t>
      </w:r>
      <w:r>
        <w:rPr>
          <w:rFonts w:hint="eastAsia" w:asciiTheme="majorEastAsia" w:hAnsiTheme="majorEastAsia" w:eastAsiaTheme="majorEastAsia"/>
          <w:sz w:val="32"/>
          <w:szCs w:val="32"/>
        </w:rPr>
        <w:t>1419.20</w:t>
      </w:r>
      <w:r>
        <w:rPr>
          <w:rFonts w:asciiTheme="majorEastAsia" w:hAnsiTheme="majorEastAsia" w:eastAsiaTheme="majorEastAsia"/>
          <w:sz w:val="32"/>
          <w:szCs w:val="32"/>
        </w:rPr>
        <w:t>万元，</w:t>
      </w:r>
      <w:r>
        <w:rPr>
          <w:rFonts w:hint="eastAsia" w:asciiTheme="majorEastAsia" w:hAnsiTheme="majorEastAsia" w:eastAsiaTheme="majorEastAsia"/>
          <w:sz w:val="32"/>
          <w:szCs w:val="32"/>
        </w:rPr>
        <w:t>主要为电蓄热锅炉改造、展馆展区专项维修维护、展区、办公区水电费（含供热电蓄热锅炉电费）、免费开放运转经费、中宣部旧址改陈布展经费等。</w:t>
      </w:r>
      <w:r>
        <w:rPr>
          <w:rFonts w:asciiTheme="majorEastAsia" w:hAnsiTheme="majorEastAsia" w:eastAsiaTheme="majorEastAsia"/>
          <w:sz w:val="32"/>
          <w:szCs w:val="32"/>
        </w:rPr>
        <w:t xml:space="preserve"> </w:t>
      </w:r>
    </w:p>
    <w:p>
      <w:pPr>
        <w:spacing w:line="400" w:lineRule="exact"/>
        <w:ind w:firstLine="320" w:firstLineChars="100"/>
        <w:rPr>
          <w:rFonts w:asciiTheme="majorEastAsia" w:hAnsiTheme="majorEastAsia" w:eastAsiaTheme="majorEastAsia"/>
          <w:sz w:val="32"/>
          <w:szCs w:val="32"/>
        </w:rPr>
      </w:pPr>
      <w:r>
        <w:rPr>
          <w:rFonts w:hint="eastAsia" w:asciiTheme="majorEastAsia" w:hAnsiTheme="majorEastAsia" w:eastAsiaTheme="majorEastAsia"/>
          <w:sz w:val="32"/>
          <w:szCs w:val="32"/>
          <w:lang w:eastAsia="zh-CN"/>
        </w:rPr>
        <w:t>（</w:t>
      </w:r>
      <w:r>
        <w:rPr>
          <w:rFonts w:hint="eastAsia" w:asciiTheme="majorEastAsia" w:hAnsiTheme="majorEastAsia" w:eastAsiaTheme="majorEastAsia"/>
          <w:sz w:val="32"/>
          <w:szCs w:val="32"/>
          <w:lang w:val="en-US" w:eastAsia="zh-CN"/>
        </w:rPr>
        <w:t>3</w:t>
      </w:r>
      <w:r>
        <w:rPr>
          <w:rFonts w:hint="eastAsia" w:asciiTheme="majorEastAsia" w:hAnsiTheme="majorEastAsia" w:eastAsiaTheme="majorEastAsia"/>
          <w:sz w:val="32"/>
          <w:szCs w:val="32"/>
          <w:lang w:eastAsia="zh-CN"/>
        </w:rPr>
        <w:t>）</w:t>
      </w:r>
      <w:r>
        <w:rPr>
          <w:rFonts w:asciiTheme="majorEastAsia" w:hAnsiTheme="majorEastAsia" w:eastAsiaTheme="majorEastAsia"/>
          <w:sz w:val="32"/>
          <w:szCs w:val="32"/>
        </w:rPr>
        <w:t>比上年增减情况</w:t>
      </w:r>
    </w:p>
    <w:p>
      <w:pPr>
        <w:spacing w:line="400" w:lineRule="exact"/>
        <w:ind w:firstLine="640" w:firstLineChars="200"/>
        <w:rPr>
          <w:rFonts w:asciiTheme="majorEastAsia" w:hAnsiTheme="majorEastAsia" w:eastAsiaTheme="majorEastAsia"/>
          <w:sz w:val="32"/>
          <w:szCs w:val="32"/>
        </w:rPr>
      </w:pPr>
      <w:r>
        <w:rPr>
          <w:rFonts w:asciiTheme="majorEastAsia" w:hAnsiTheme="majorEastAsia" w:eastAsiaTheme="majorEastAsia"/>
          <w:sz w:val="32"/>
          <w:szCs w:val="32"/>
        </w:rPr>
        <w:t xml:space="preserve">2018 年预算收支安排 </w:t>
      </w:r>
      <w:r>
        <w:rPr>
          <w:rFonts w:hint="eastAsia" w:asciiTheme="majorEastAsia" w:hAnsiTheme="majorEastAsia" w:eastAsiaTheme="majorEastAsia"/>
          <w:sz w:val="32"/>
          <w:szCs w:val="32"/>
        </w:rPr>
        <w:t xml:space="preserve">4498.08 </w:t>
      </w:r>
      <w:r>
        <w:rPr>
          <w:rFonts w:asciiTheme="majorEastAsia" w:hAnsiTheme="majorEastAsia" w:eastAsiaTheme="majorEastAsia"/>
          <w:sz w:val="32"/>
          <w:szCs w:val="32"/>
        </w:rPr>
        <w:t xml:space="preserve"> 万元，较 2017 年预算增加</w:t>
      </w:r>
      <w:r>
        <w:rPr>
          <w:rFonts w:hint="eastAsia" w:asciiTheme="majorEastAsia" w:hAnsiTheme="majorEastAsia" w:eastAsiaTheme="majorEastAsia"/>
          <w:sz w:val="32"/>
          <w:szCs w:val="32"/>
        </w:rPr>
        <w:t>520.57</w:t>
      </w:r>
      <w:r>
        <w:rPr>
          <w:rFonts w:asciiTheme="majorEastAsia" w:hAnsiTheme="majorEastAsia" w:eastAsiaTheme="majorEastAsia"/>
          <w:sz w:val="32"/>
          <w:szCs w:val="32"/>
        </w:rPr>
        <w:t>万元，其中：基本支出增加</w:t>
      </w:r>
    </w:p>
    <w:p>
      <w:pPr>
        <w:spacing w:line="400" w:lineRule="exact"/>
        <w:ind w:firstLine="160" w:firstLineChars="50"/>
        <w:rPr>
          <w:rFonts w:asciiTheme="majorEastAsia" w:hAnsiTheme="majorEastAsia" w:eastAsiaTheme="majorEastAsia"/>
          <w:color w:val="FF0000"/>
          <w:sz w:val="32"/>
          <w:szCs w:val="32"/>
        </w:rPr>
      </w:pPr>
      <w:r>
        <w:rPr>
          <w:rFonts w:hint="eastAsia" w:asciiTheme="majorEastAsia" w:hAnsiTheme="majorEastAsia" w:eastAsiaTheme="majorEastAsia"/>
          <w:sz w:val="32"/>
          <w:szCs w:val="32"/>
        </w:rPr>
        <w:t>315.06</w:t>
      </w:r>
      <w:r>
        <w:rPr>
          <w:rFonts w:asciiTheme="majorEastAsia" w:hAnsiTheme="majorEastAsia" w:eastAsiaTheme="majorEastAsia"/>
          <w:sz w:val="32"/>
          <w:szCs w:val="32"/>
        </w:rPr>
        <w:t>万元，主要为人员经费</w:t>
      </w:r>
      <w:r>
        <w:rPr>
          <w:rFonts w:hint="eastAsia" w:asciiTheme="majorEastAsia" w:hAnsiTheme="majorEastAsia" w:eastAsiaTheme="majorEastAsia"/>
          <w:sz w:val="32"/>
          <w:szCs w:val="32"/>
        </w:rPr>
        <w:t>增加；</w:t>
      </w:r>
      <w:r>
        <w:rPr>
          <w:rFonts w:asciiTheme="majorEastAsia" w:hAnsiTheme="majorEastAsia" w:eastAsiaTheme="majorEastAsia"/>
          <w:sz w:val="32"/>
          <w:szCs w:val="32"/>
        </w:rPr>
        <w:t>项目支出增加</w:t>
      </w:r>
      <w:r>
        <w:rPr>
          <w:rFonts w:hint="eastAsia" w:asciiTheme="majorEastAsia" w:hAnsiTheme="majorEastAsia" w:eastAsiaTheme="majorEastAsia"/>
          <w:sz w:val="32"/>
          <w:szCs w:val="32"/>
        </w:rPr>
        <w:t xml:space="preserve">205.51 </w:t>
      </w:r>
      <w:r>
        <w:rPr>
          <w:rFonts w:asciiTheme="majorEastAsia" w:hAnsiTheme="majorEastAsia" w:eastAsiaTheme="majorEastAsia"/>
          <w:sz w:val="32"/>
          <w:szCs w:val="32"/>
        </w:rPr>
        <w:t>万元，主要</w:t>
      </w:r>
      <w:r>
        <w:rPr>
          <w:rFonts w:hint="eastAsia" w:asciiTheme="majorEastAsia" w:hAnsiTheme="majorEastAsia" w:eastAsiaTheme="majorEastAsia"/>
          <w:sz w:val="32"/>
          <w:szCs w:val="32"/>
        </w:rPr>
        <w:t>是更换电蓄热锅炉。</w:t>
      </w:r>
    </w:p>
    <w:p>
      <w:pPr>
        <w:spacing w:line="400" w:lineRule="exact"/>
        <w:ind w:firstLine="640" w:firstLineChars="200"/>
        <w:rPr>
          <w:rFonts w:asciiTheme="majorEastAsia" w:hAnsiTheme="majorEastAsia" w:eastAsiaTheme="majorEastAsia"/>
          <w:sz w:val="32"/>
          <w:szCs w:val="32"/>
        </w:rPr>
      </w:pPr>
      <w:r>
        <w:rPr>
          <w:rFonts w:hint="eastAsia" w:asciiTheme="majorEastAsia" w:hAnsiTheme="majorEastAsia" w:eastAsiaTheme="majorEastAsia"/>
          <w:sz w:val="32"/>
          <w:szCs w:val="32"/>
          <w:lang w:val="en-US" w:eastAsia="zh-CN"/>
        </w:rPr>
        <w:t>3、</w:t>
      </w:r>
      <w:r>
        <w:rPr>
          <w:rFonts w:asciiTheme="majorEastAsia" w:hAnsiTheme="majorEastAsia" w:eastAsiaTheme="majorEastAsia"/>
          <w:sz w:val="32"/>
          <w:szCs w:val="32"/>
        </w:rPr>
        <w:t>机关运行经费安排情况</w:t>
      </w:r>
    </w:p>
    <w:p>
      <w:pPr>
        <w:spacing w:line="400" w:lineRule="exact"/>
        <w:ind w:firstLine="640" w:firstLineChars="200"/>
        <w:rPr>
          <w:rFonts w:hint="eastAsia" w:asciiTheme="majorEastAsia" w:hAnsiTheme="majorEastAsia" w:eastAsiaTheme="majorEastAsia"/>
          <w:sz w:val="32"/>
          <w:szCs w:val="32"/>
        </w:rPr>
      </w:pPr>
      <w:r>
        <w:rPr>
          <w:rFonts w:asciiTheme="majorEastAsia" w:hAnsiTheme="majorEastAsia" w:eastAsiaTheme="majorEastAsia"/>
          <w:sz w:val="32"/>
          <w:szCs w:val="32"/>
        </w:rPr>
        <w:t>2018年，我</w:t>
      </w:r>
      <w:r>
        <w:rPr>
          <w:rFonts w:hint="eastAsia" w:asciiTheme="majorEastAsia" w:hAnsiTheme="majorEastAsia" w:eastAsiaTheme="majorEastAsia"/>
          <w:sz w:val="32"/>
          <w:szCs w:val="32"/>
        </w:rPr>
        <w:t>单位</w:t>
      </w:r>
      <w:r>
        <w:rPr>
          <w:rFonts w:asciiTheme="majorEastAsia" w:hAnsiTheme="majorEastAsia" w:eastAsiaTheme="majorEastAsia"/>
          <w:sz w:val="32"/>
          <w:szCs w:val="32"/>
        </w:rPr>
        <w:t>机关运行经费共计安排</w:t>
      </w:r>
      <w:r>
        <w:rPr>
          <w:rFonts w:hint="eastAsia" w:asciiTheme="majorEastAsia" w:hAnsiTheme="majorEastAsia" w:eastAsiaTheme="majorEastAsia"/>
          <w:sz w:val="32"/>
          <w:szCs w:val="32"/>
        </w:rPr>
        <w:t xml:space="preserve"> 260.58</w:t>
      </w:r>
      <w:r>
        <w:rPr>
          <w:rFonts w:asciiTheme="majorEastAsia" w:hAnsiTheme="majorEastAsia" w:eastAsiaTheme="majorEastAsia"/>
          <w:sz w:val="32"/>
          <w:szCs w:val="32"/>
        </w:rPr>
        <w:t>万元，</w:t>
      </w:r>
      <w:r>
        <w:rPr>
          <w:rFonts w:hint="eastAsia" w:asciiTheme="majorEastAsia" w:hAnsiTheme="majorEastAsia" w:eastAsiaTheme="majorEastAsia"/>
          <w:sz w:val="32"/>
          <w:szCs w:val="32"/>
        </w:rPr>
        <w:t>其中办公取暖费为 102万元，职工教育经费 7.13万元，福利费 11.88 万元，工会经费18.68 万元，一般维修费29.45 万元，退休干部公用经费 2.37万元，退休干部特需费1.6 万元，退休人员福利费2.51 万元，事业单位综合定额84.96万元。</w:t>
      </w:r>
    </w:p>
    <w:p>
      <w:pPr>
        <w:adjustRightInd w:val="0"/>
        <w:snapToGrid w:val="0"/>
        <w:spacing w:line="460" w:lineRule="exact"/>
        <w:ind w:firstLine="640"/>
        <w:jc w:val="left"/>
        <w:rPr>
          <w:rFonts w:hint="eastAsia" w:ascii="宋体" w:hAnsi="宋体" w:eastAsia="宋体" w:cs="宋体"/>
          <w:color w:val="000000"/>
          <w:kern w:val="0"/>
          <w:sz w:val="32"/>
          <w:szCs w:val="32"/>
          <w:lang w:val="en-US" w:eastAsia="zh-CN"/>
        </w:rPr>
      </w:pPr>
      <w:r>
        <w:rPr>
          <w:rFonts w:hint="eastAsia" w:ascii="宋体" w:hAnsi="宋体" w:eastAsia="宋体" w:cs="宋体"/>
          <w:sz w:val="32"/>
          <w:szCs w:val="32"/>
          <w:lang w:val="en-US" w:eastAsia="zh-CN"/>
        </w:rPr>
        <w:t>2017年</w:t>
      </w:r>
      <w:r>
        <w:rPr>
          <w:rFonts w:hint="eastAsia" w:ascii="宋体" w:hAnsi="宋体" w:eastAsia="宋体" w:cs="宋体"/>
          <w:color w:val="000000"/>
          <w:kern w:val="0"/>
          <w:sz w:val="32"/>
          <w:szCs w:val="32"/>
        </w:rPr>
        <w:t>日常公用预算为147.8万元，</w:t>
      </w:r>
      <w:r>
        <w:rPr>
          <w:rFonts w:hint="eastAsia" w:ascii="宋体" w:hAnsi="宋体" w:eastAsia="宋体" w:cs="宋体"/>
          <w:color w:val="000000"/>
          <w:kern w:val="0"/>
          <w:sz w:val="32"/>
          <w:szCs w:val="32"/>
          <w:lang w:val="en-US" w:eastAsia="zh-CN"/>
        </w:rPr>
        <w:t>其中职工教育经费6.81万元，招待费3.01万元，福利费11.36万元，工会经费19.76万元，一般维修费17.88万元，退休干部公用经费1.53万元，退休干部退需费0.2万元，退休人员福利费2.29万元，事业单位综合定额经费84.96万元。</w:t>
      </w:r>
    </w:p>
    <w:p>
      <w:pPr>
        <w:adjustRightInd w:val="0"/>
        <w:snapToGrid w:val="0"/>
        <w:spacing w:line="460" w:lineRule="exact"/>
        <w:ind w:firstLine="640"/>
        <w:jc w:val="left"/>
        <w:rPr>
          <w:rFonts w:hint="eastAsia" w:ascii="宋体" w:hAnsi="宋体" w:eastAsia="宋体" w:cs="宋体"/>
          <w:color w:val="000000"/>
          <w:kern w:val="0"/>
          <w:sz w:val="32"/>
          <w:szCs w:val="32"/>
        </w:rPr>
      </w:pPr>
      <w:r>
        <w:rPr>
          <w:rFonts w:hint="eastAsia" w:ascii="宋体" w:hAnsi="宋体" w:eastAsia="宋体" w:cs="宋体"/>
          <w:color w:val="000000"/>
          <w:kern w:val="0"/>
          <w:sz w:val="32"/>
          <w:szCs w:val="32"/>
        </w:rPr>
        <w:t>201</w:t>
      </w:r>
      <w:r>
        <w:rPr>
          <w:rFonts w:hint="eastAsia" w:ascii="宋体" w:hAnsi="宋体" w:cs="宋体"/>
          <w:color w:val="000000"/>
          <w:kern w:val="0"/>
          <w:sz w:val="32"/>
          <w:szCs w:val="32"/>
          <w:lang w:val="en-US" w:eastAsia="zh-CN"/>
        </w:rPr>
        <w:t>8</w:t>
      </w:r>
      <w:r>
        <w:rPr>
          <w:rFonts w:hint="eastAsia" w:ascii="宋体" w:hAnsi="宋体" w:eastAsia="宋体" w:cs="宋体"/>
          <w:color w:val="000000"/>
          <w:kern w:val="0"/>
          <w:sz w:val="32"/>
          <w:szCs w:val="32"/>
        </w:rPr>
        <w:t>年机关运行经费安排和上年</w:t>
      </w:r>
      <w:r>
        <w:rPr>
          <w:rFonts w:hint="eastAsia" w:ascii="宋体" w:hAnsi="宋体" w:cs="宋体"/>
          <w:color w:val="000000"/>
          <w:kern w:val="0"/>
          <w:sz w:val="32"/>
          <w:szCs w:val="32"/>
          <w:lang w:val="en-US" w:eastAsia="zh-CN"/>
        </w:rPr>
        <w:t>预算</w:t>
      </w:r>
      <w:r>
        <w:rPr>
          <w:rFonts w:hint="eastAsia" w:ascii="宋体" w:hAnsi="宋体" w:eastAsia="宋体" w:cs="宋体"/>
          <w:color w:val="000000"/>
          <w:kern w:val="0"/>
          <w:sz w:val="32"/>
          <w:szCs w:val="32"/>
        </w:rPr>
        <w:t>相比</w:t>
      </w:r>
      <w:r>
        <w:rPr>
          <w:rFonts w:hint="eastAsia" w:ascii="宋体" w:hAnsi="宋体" w:cs="宋体"/>
          <w:color w:val="000000"/>
          <w:kern w:val="0"/>
          <w:sz w:val="32"/>
          <w:szCs w:val="32"/>
          <w:lang w:val="en-US" w:eastAsia="zh-CN"/>
        </w:rPr>
        <w:t>增加了112.78万元</w:t>
      </w:r>
      <w:r>
        <w:rPr>
          <w:rFonts w:hint="eastAsia" w:ascii="宋体" w:hAnsi="宋体" w:eastAsia="宋体" w:cs="宋体"/>
          <w:color w:val="000000"/>
          <w:kern w:val="0"/>
          <w:sz w:val="32"/>
          <w:szCs w:val="32"/>
        </w:rPr>
        <w:t>，</w:t>
      </w:r>
      <w:r>
        <w:rPr>
          <w:rFonts w:hint="eastAsia" w:ascii="宋体" w:hAnsi="宋体" w:cs="宋体"/>
          <w:color w:val="000000"/>
          <w:kern w:val="0"/>
          <w:sz w:val="32"/>
          <w:szCs w:val="32"/>
          <w:lang w:val="en-US" w:eastAsia="zh-CN"/>
        </w:rPr>
        <w:t>主要原因为：2018年机关运行经费中安排了办公取暖费102万元，</w:t>
      </w:r>
      <w:r>
        <w:rPr>
          <w:rFonts w:hint="eastAsia" w:ascii="宋体" w:hAnsi="宋体" w:eastAsia="宋体" w:cs="宋体"/>
          <w:color w:val="000000"/>
          <w:kern w:val="0"/>
          <w:sz w:val="32"/>
          <w:szCs w:val="32"/>
        </w:rPr>
        <w:t>2017年冬季供暖服务</w:t>
      </w:r>
      <w:r>
        <w:rPr>
          <w:rFonts w:hint="eastAsia" w:ascii="宋体" w:hAnsi="宋体" w:cs="宋体"/>
          <w:color w:val="000000"/>
          <w:kern w:val="0"/>
          <w:sz w:val="32"/>
          <w:szCs w:val="32"/>
          <w:lang w:val="en-US" w:eastAsia="zh-CN"/>
        </w:rPr>
        <w:t>费</w:t>
      </w:r>
      <w:r>
        <w:rPr>
          <w:rFonts w:hint="eastAsia" w:ascii="宋体" w:hAnsi="宋体" w:eastAsia="宋体" w:cs="宋体"/>
          <w:color w:val="000000"/>
          <w:kern w:val="0"/>
          <w:sz w:val="32"/>
          <w:szCs w:val="32"/>
        </w:rPr>
        <w:t>列在了</w:t>
      </w:r>
      <w:r>
        <w:rPr>
          <w:rFonts w:hint="eastAsia" w:ascii="宋体" w:hAnsi="宋体" w:cs="宋体"/>
          <w:color w:val="000000"/>
          <w:kern w:val="0"/>
          <w:sz w:val="32"/>
          <w:szCs w:val="32"/>
          <w:lang w:val="en-US" w:eastAsia="zh-CN"/>
        </w:rPr>
        <w:t>专项</w:t>
      </w:r>
      <w:r>
        <w:rPr>
          <w:rFonts w:hint="eastAsia" w:ascii="宋体" w:hAnsi="宋体" w:eastAsia="宋体" w:cs="宋体"/>
          <w:color w:val="000000"/>
          <w:kern w:val="0"/>
          <w:sz w:val="32"/>
          <w:szCs w:val="32"/>
        </w:rPr>
        <w:t>项目中</w:t>
      </w:r>
      <w:r>
        <w:rPr>
          <w:rFonts w:hint="eastAsia" w:ascii="宋体" w:hAnsi="宋体" w:cs="宋体"/>
          <w:color w:val="000000"/>
          <w:kern w:val="0"/>
          <w:sz w:val="32"/>
          <w:szCs w:val="32"/>
          <w:lang w:eastAsia="zh-CN"/>
        </w:rPr>
        <w:t>。</w:t>
      </w:r>
      <w:r>
        <w:rPr>
          <w:rFonts w:hint="eastAsia" w:ascii="宋体" w:hAnsi="宋体" w:cs="宋体"/>
          <w:color w:val="000000"/>
          <w:kern w:val="0"/>
          <w:sz w:val="32"/>
          <w:szCs w:val="32"/>
          <w:lang w:val="en-US" w:eastAsia="zh-CN"/>
        </w:rPr>
        <w:t>其余的为一般维修费增加。</w:t>
      </w:r>
    </w:p>
    <w:p>
      <w:pPr>
        <w:spacing w:line="400" w:lineRule="exact"/>
        <w:ind w:firstLine="640" w:firstLineChars="200"/>
        <w:rPr>
          <w:rFonts w:asciiTheme="majorEastAsia" w:hAnsiTheme="majorEastAsia" w:eastAsiaTheme="majorEastAsia"/>
          <w:sz w:val="32"/>
          <w:szCs w:val="32"/>
        </w:rPr>
      </w:pPr>
      <w:r>
        <w:rPr>
          <w:rFonts w:hint="eastAsia" w:asciiTheme="majorEastAsia" w:hAnsiTheme="majorEastAsia" w:eastAsiaTheme="majorEastAsia"/>
          <w:sz w:val="32"/>
          <w:szCs w:val="32"/>
          <w:lang w:val="en-US" w:eastAsia="zh-CN"/>
        </w:rPr>
        <w:t>4、</w:t>
      </w:r>
      <w:r>
        <w:rPr>
          <w:rFonts w:asciiTheme="majorEastAsia" w:hAnsiTheme="majorEastAsia" w:eastAsiaTheme="majorEastAsia"/>
          <w:sz w:val="32"/>
          <w:szCs w:val="32"/>
        </w:rPr>
        <w:t>财政拨款“三公”经费预算情况及增减变化原因</w:t>
      </w:r>
    </w:p>
    <w:p>
      <w:pPr>
        <w:numPr>
          <w:ilvl w:val="0"/>
          <w:numId w:val="0"/>
        </w:numPr>
        <w:spacing w:line="400" w:lineRule="exact"/>
        <w:ind w:firstLine="320" w:firstLineChars="100"/>
        <w:rPr>
          <w:rFonts w:asciiTheme="majorEastAsia" w:hAnsiTheme="majorEastAsia" w:eastAsiaTheme="majorEastAsia"/>
          <w:sz w:val="32"/>
          <w:szCs w:val="32"/>
        </w:rPr>
      </w:pPr>
      <w:r>
        <w:rPr>
          <w:rFonts w:hint="eastAsia" w:asciiTheme="majorEastAsia" w:hAnsiTheme="majorEastAsia" w:eastAsiaTheme="majorEastAsia"/>
          <w:sz w:val="32"/>
          <w:szCs w:val="32"/>
          <w:lang w:eastAsia="zh-CN"/>
        </w:rPr>
        <w:t>（</w:t>
      </w:r>
      <w:r>
        <w:rPr>
          <w:rFonts w:hint="eastAsia" w:asciiTheme="majorEastAsia" w:hAnsiTheme="majorEastAsia" w:eastAsiaTheme="majorEastAsia"/>
          <w:sz w:val="32"/>
          <w:szCs w:val="32"/>
          <w:lang w:val="en-US" w:eastAsia="zh-CN"/>
        </w:rPr>
        <w:t>1</w:t>
      </w:r>
      <w:r>
        <w:rPr>
          <w:rFonts w:hint="eastAsia" w:asciiTheme="majorEastAsia" w:hAnsiTheme="majorEastAsia" w:eastAsiaTheme="majorEastAsia"/>
          <w:sz w:val="32"/>
          <w:szCs w:val="32"/>
          <w:lang w:eastAsia="zh-CN"/>
        </w:rPr>
        <w:t>）</w:t>
      </w:r>
      <w:r>
        <w:rPr>
          <w:rFonts w:asciiTheme="majorEastAsia" w:hAnsiTheme="majorEastAsia" w:eastAsiaTheme="majorEastAsia"/>
          <w:sz w:val="32"/>
          <w:szCs w:val="32"/>
        </w:rPr>
        <w:t>“三公”经费预算</w:t>
      </w:r>
      <w:r>
        <w:rPr>
          <w:rFonts w:hint="eastAsia" w:asciiTheme="majorEastAsia" w:hAnsiTheme="majorEastAsia" w:eastAsiaTheme="majorEastAsia"/>
          <w:sz w:val="32"/>
          <w:szCs w:val="32"/>
          <w:lang w:val="en-US" w:eastAsia="zh-CN"/>
        </w:rPr>
        <w:t>及培训经费预算</w:t>
      </w:r>
      <w:r>
        <w:rPr>
          <w:rFonts w:asciiTheme="majorEastAsia" w:hAnsiTheme="majorEastAsia" w:eastAsiaTheme="majorEastAsia"/>
          <w:sz w:val="32"/>
          <w:szCs w:val="32"/>
        </w:rPr>
        <w:t>情况</w:t>
      </w:r>
    </w:p>
    <w:p>
      <w:pPr>
        <w:numPr>
          <w:ilvl w:val="0"/>
          <w:numId w:val="0"/>
        </w:numPr>
        <w:spacing w:line="400" w:lineRule="exact"/>
        <w:ind w:firstLine="640" w:firstLineChars="200"/>
        <w:rPr>
          <w:rFonts w:asciiTheme="majorEastAsia" w:hAnsiTheme="majorEastAsia" w:eastAsiaTheme="majorEastAsia"/>
          <w:sz w:val="32"/>
          <w:szCs w:val="32"/>
        </w:rPr>
      </w:pPr>
      <w:r>
        <w:rPr>
          <w:rFonts w:asciiTheme="majorEastAsia" w:hAnsiTheme="majorEastAsia" w:eastAsiaTheme="majorEastAsia"/>
          <w:sz w:val="32"/>
          <w:szCs w:val="32"/>
        </w:rPr>
        <w:t>2018年，</w:t>
      </w:r>
      <w:r>
        <w:rPr>
          <w:rFonts w:hint="eastAsia" w:asciiTheme="majorEastAsia" w:hAnsiTheme="majorEastAsia" w:eastAsiaTheme="majorEastAsia"/>
          <w:sz w:val="32"/>
          <w:szCs w:val="32"/>
        </w:rPr>
        <w:t>西柏坡纪念馆</w:t>
      </w:r>
      <w:r>
        <w:rPr>
          <w:rFonts w:asciiTheme="majorEastAsia" w:hAnsiTheme="majorEastAsia" w:eastAsiaTheme="majorEastAsia"/>
          <w:sz w:val="32"/>
          <w:szCs w:val="32"/>
        </w:rPr>
        <w:t>财政拨款“三公”经费预算安排</w:t>
      </w:r>
      <w:r>
        <w:rPr>
          <w:rFonts w:hint="eastAsia" w:asciiTheme="majorEastAsia" w:hAnsiTheme="majorEastAsia" w:eastAsiaTheme="majorEastAsia"/>
          <w:sz w:val="32"/>
          <w:szCs w:val="32"/>
          <w:lang w:val="en-US" w:eastAsia="zh-CN"/>
        </w:rPr>
        <w:t>79</w:t>
      </w:r>
      <w:r>
        <w:rPr>
          <w:rFonts w:asciiTheme="majorEastAsia" w:hAnsiTheme="majorEastAsia" w:eastAsiaTheme="majorEastAsia"/>
          <w:sz w:val="32"/>
          <w:szCs w:val="32"/>
        </w:rPr>
        <w:t>万元，其中因公出国（境）费</w:t>
      </w:r>
      <w:r>
        <w:rPr>
          <w:rFonts w:hint="eastAsia" w:asciiTheme="majorEastAsia" w:hAnsiTheme="majorEastAsia" w:eastAsiaTheme="majorEastAsia"/>
          <w:sz w:val="32"/>
          <w:szCs w:val="32"/>
        </w:rPr>
        <w:t>0</w:t>
      </w:r>
      <w:r>
        <w:rPr>
          <w:rFonts w:asciiTheme="majorEastAsia" w:hAnsiTheme="majorEastAsia" w:eastAsiaTheme="majorEastAsia"/>
          <w:sz w:val="32"/>
          <w:szCs w:val="32"/>
        </w:rPr>
        <w:t>万元；公务用车购置及运维费</w:t>
      </w:r>
      <w:r>
        <w:rPr>
          <w:rFonts w:hint="eastAsia" w:asciiTheme="majorEastAsia" w:hAnsiTheme="majorEastAsia" w:eastAsiaTheme="majorEastAsia"/>
          <w:sz w:val="32"/>
          <w:szCs w:val="32"/>
        </w:rPr>
        <w:t xml:space="preserve"> 79 </w:t>
      </w:r>
      <w:r>
        <w:rPr>
          <w:rFonts w:asciiTheme="majorEastAsia" w:hAnsiTheme="majorEastAsia" w:eastAsiaTheme="majorEastAsia"/>
          <w:sz w:val="32"/>
          <w:szCs w:val="32"/>
        </w:rPr>
        <w:t>万元（其中：公务用车购置费为0万元，公务用车运维费</w:t>
      </w:r>
      <w:r>
        <w:rPr>
          <w:rFonts w:hint="eastAsia" w:asciiTheme="majorEastAsia" w:hAnsiTheme="majorEastAsia" w:eastAsiaTheme="majorEastAsia"/>
          <w:sz w:val="32"/>
          <w:szCs w:val="32"/>
        </w:rPr>
        <w:t xml:space="preserve"> 79 </w:t>
      </w:r>
      <w:r>
        <w:rPr>
          <w:rFonts w:asciiTheme="majorEastAsia" w:hAnsiTheme="majorEastAsia" w:eastAsiaTheme="majorEastAsia"/>
          <w:sz w:val="32"/>
          <w:szCs w:val="32"/>
        </w:rPr>
        <w:t>万元)；公务接待费</w:t>
      </w:r>
      <w:r>
        <w:rPr>
          <w:rFonts w:hint="eastAsia" w:asciiTheme="majorEastAsia" w:hAnsiTheme="majorEastAsia" w:eastAsiaTheme="majorEastAsia"/>
          <w:sz w:val="32"/>
          <w:szCs w:val="32"/>
        </w:rPr>
        <w:t xml:space="preserve"> 0</w:t>
      </w:r>
      <w:r>
        <w:rPr>
          <w:rFonts w:asciiTheme="majorEastAsia" w:hAnsiTheme="majorEastAsia" w:eastAsiaTheme="majorEastAsia"/>
          <w:sz w:val="32"/>
          <w:szCs w:val="32"/>
        </w:rPr>
        <w:t>万元。</w:t>
      </w:r>
    </w:p>
    <w:p>
      <w:pPr>
        <w:spacing w:line="400" w:lineRule="exact"/>
        <w:ind w:firstLine="800" w:firstLineChars="250"/>
        <w:rPr>
          <w:rFonts w:asciiTheme="majorEastAsia" w:hAnsiTheme="majorEastAsia" w:eastAsiaTheme="majorEastAsia"/>
          <w:sz w:val="32"/>
          <w:szCs w:val="32"/>
        </w:rPr>
      </w:pPr>
      <w:r>
        <w:rPr>
          <w:rFonts w:asciiTheme="majorEastAsia" w:hAnsiTheme="majorEastAsia" w:eastAsiaTheme="majorEastAsia"/>
          <w:sz w:val="32"/>
          <w:szCs w:val="32"/>
        </w:rPr>
        <w:t>2017年</w:t>
      </w:r>
      <w:r>
        <w:rPr>
          <w:rFonts w:hint="eastAsia" w:asciiTheme="majorEastAsia" w:hAnsiTheme="majorEastAsia" w:eastAsiaTheme="majorEastAsia"/>
          <w:sz w:val="32"/>
          <w:szCs w:val="32"/>
          <w:lang w:val="en-US" w:eastAsia="zh-CN"/>
        </w:rPr>
        <w:t>,</w:t>
      </w:r>
      <w:r>
        <w:rPr>
          <w:rFonts w:hint="eastAsia" w:asciiTheme="majorEastAsia" w:hAnsiTheme="majorEastAsia" w:eastAsiaTheme="majorEastAsia"/>
          <w:sz w:val="32"/>
          <w:szCs w:val="32"/>
        </w:rPr>
        <w:t>西柏坡纪念馆</w:t>
      </w:r>
      <w:r>
        <w:rPr>
          <w:rFonts w:asciiTheme="majorEastAsia" w:hAnsiTheme="majorEastAsia" w:eastAsiaTheme="majorEastAsia"/>
          <w:sz w:val="32"/>
          <w:szCs w:val="32"/>
        </w:rPr>
        <w:t>财政拨款“三公”经费预算安排</w:t>
      </w:r>
      <w:r>
        <w:rPr>
          <w:rFonts w:hint="eastAsia" w:asciiTheme="majorEastAsia" w:hAnsiTheme="majorEastAsia" w:eastAsiaTheme="majorEastAsia"/>
          <w:sz w:val="32"/>
          <w:szCs w:val="32"/>
          <w:lang w:val="en-US" w:eastAsia="zh-CN"/>
        </w:rPr>
        <w:t>90</w:t>
      </w:r>
      <w:r>
        <w:rPr>
          <w:rFonts w:asciiTheme="majorEastAsia" w:hAnsiTheme="majorEastAsia" w:eastAsiaTheme="majorEastAsia"/>
          <w:sz w:val="32"/>
          <w:szCs w:val="32"/>
        </w:rPr>
        <w:t>万元，其中因公出国（境）费</w:t>
      </w:r>
      <w:r>
        <w:rPr>
          <w:rFonts w:hint="eastAsia" w:asciiTheme="majorEastAsia" w:hAnsiTheme="majorEastAsia" w:eastAsiaTheme="majorEastAsia"/>
          <w:sz w:val="32"/>
          <w:szCs w:val="32"/>
        </w:rPr>
        <w:t>0</w:t>
      </w:r>
      <w:r>
        <w:rPr>
          <w:rFonts w:asciiTheme="majorEastAsia" w:hAnsiTheme="majorEastAsia" w:eastAsiaTheme="majorEastAsia"/>
          <w:sz w:val="32"/>
          <w:szCs w:val="32"/>
        </w:rPr>
        <w:t>万元；公务用车购置及运维费</w:t>
      </w:r>
      <w:r>
        <w:rPr>
          <w:rFonts w:hint="eastAsia" w:asciiTheme="majorEastAsia" w:hAnsiTheme="majorEastAsia" w:eastAsiaTheme="majorEastAsia"/>
          <w:sz w:val="32"/>
          <w:szCs w:val="32"/>
        </w:rPr>
        <w:t xml:space="preserve"> </w:t>
      </w:r>
      <w:r>
        <w:rPr>
          <w:rFonts w:hint="eastAsia" w:asciiTheme="majorEastAsia" w:hAnsiTheme="majorEastAsia" w:eastAsiaTheme="majorEastAsia"/>
          <w:sz w:val="32"/>
          <w:szCs w:val="32"/>
          <w:lang w:val="en-US" w:eastAsia="zh-CN"/>
        </w:rPr>
        <w:t>90</w:t>
      </w:r>
      <w:r>
        <w:rPr>
          <w:rFonts w:asciiTheme="majorEastAsia" w:hAnsiTheme="majorEastAsia" w:eastAsiaTheme="majorEastAsia"/>
          <w:sz w:val="32"/>
          <w:szCs w:val="32"/>
        </w:rPr>
        <w:t>万元（其中：公务用车购置费为0万元，公务用车运维费</w:t>
      </w:r>
      <w:r>
        <w:rPr>
          <w:rFonts w:hint="eastAsia" w:asciiTheme="majorEastAsia" w:hAnsiTheme="majorEastAsia" w:eastAsiaTheme="majorEastAsia"/>
          <w:sz w:val="32"/>
          <w:szCs w:val="32"/>
        </w:rPr>
        <w:t xml:space="preserve"> </w:t>
      </w:r>
      <w:r>
        <w:rPr>
          <w:rFonts w:hint="eastAsia" w:asciiTheme="majorEastAsia" w:hAnsiTheme="majorEastAsia" w:eastAsiaTheme="majorEastAsia"/>
          <w:sz w:val="32"/>
          <w:szCs w:val="32"/>
          <w:lang w:val="en-US" w:eastAsia="zh-CN"/>
        </w:rPr>
        <w:t>90</w:t>
      </w:r>
      <w:r>
        <w:rPr>
          <w:rFonts w:asciiTheme="majorEastAsia" w:hAnsiTheme="majorEastAsia" w:eastAsiaTheme="majorEastAsia"/>
          <w:sz w:val="32"/>
          <w:szCs w:val="32"/>
        </w:rPr>
        <w:t>万元)；公务接待费</w:t>
      </w:r>
      <w:r>
        <w:rPr>
          <w:rFonts w:hint="eastAsia" w:asciiTheme="majorEastAsia" w:hAnsiTheme="majorEastAsia" w:eastAsiaTheme="majorEastAsia"/>
          <w:sz w:val="32"/>
          <w:szCs w:val="32"/>
        </w:rPr>
        <w:t xml:space="preserve"> 0</w:t>
      </w:r>
      <w:r>
        <w:rPr>
          <w:rFonts w:asciiTheme="majorEastAsia" w:hAnsiTheme="majorEastAsia" w:eastAsiaTheme="majorEastAsia"/>
          <w:sz w:val="32"/>
          <w:szCs w:val="32"/>
        </w:rPr>
        <w:t>万元。</w:t>
      </w:r>
    </w:p>
    <w:p>
      <w:pPr>
        <w:spacing w:line="400" w:lineRule="exact"/>
        <w:ind w:firstLine="640" w:firstLineChars="200"/>
        <w:rPr>
          <w:rFonts w:hint="eastAsia" w:asciiTheme="majorEastAsia" w:hAnsiTheme="majorEastAsia" w:eastAsiaTheme="majorEastAsia"/>
          <w:sz w:val="32"/>
          <w:szCs w:val="32"/>
          <w:lang w:val="en-US" w:eastAsia="zh-CN"/>
        </w:rPr>
      </w:pPr>
      <w:r>
        <w:rPr>
          <w:rFonts w:hint="eastAsia" w:asciiTheme="majorEastAsia" w:hAnsiTheme="majorEastAsia" w:eastAsiaTheme="majorEastAsia"/>
          <w:sz w:val="32"/>
          <w:szCs w:val="32"/>
          <w:lang w:eastAsia="zh-CN"/>
        </w:rPr>
        <w:t>（</w:t>
      </w:r>
      <w:r>
        <w:rPr>
          <w:rFonts w:hint="eastAsia" w:asciiTheme="majorEastAsia" w:hAnsiTheme="majorEastAsia" w:eastAsiaTheme="majorEastAsia"/>
          <w:sz w:val="32"/>
          <w:szCs w:val="32"/>
          <w:lang w:val="en-US" w:eastAsia="zh-CN"/>
        </w:rPr>
        <w:t>2</w:t>
      </w:r>
      <w:r>
        <w:rPr>
          <w:rFonts w:hint="eastAsia" w:asciiTheme="majorEastAsia" w:hAnsiTheme="majorEastAsia" w:eastAsiaTheme="majorEastAsia"/>
          <w:sz w:val="32"/>
          <w:szCs w:val="32"/>
          <w:lang w:eastAsia="zh-CN"/>
        </w:rPr>
        <w:t>）</w:t>
      </w:r>
      <w:r>
        <w:rPr>
          <w:rFonts w:asciiTheme="majorEastAsia" w:hAnsiTheme="majorEastAsia" w:eastAsiaTheme="majorEastAsia"/>
          <w:sz w:val="32"/>
          <w:szCs w:val="32"/>
        </w:rPr>
        <w:t>增减变化原因</w:t>
      </w:r>
    </w:p>
    <w:p>
      <w:pPr>
        <w:numPr>
          <w:ilvl w:val="0"/>
          <w:numId w:val="0"/>
        </w:numPr>
        <w:spacing w:line="400" w:lineRule="exact"/>
        <w:ind w:firstLine="640" w:firstLineChars="200"/>
        <w:rPr>
          <w:rFonts w:asciiTheme="majorEastAsia" w:hAnsiTheme="majorEastAsia" w:eastAsiaTheme="majorEastAsia"/>
          <w:sz w:val="32"/>
          <w:szCs w:val="32"/>
        </w:rPr>
      </w:pPr>
      <w:r>
        <w:rPr>
          <w:rFonts w:hint="eastAsia" w:asciiTheme="majorEastAsia" w:hAnsiTheme="majorEastAsia" w:eastAsiaTheme="majorEastAsia"/>
          <w:sz w:val="32"/>
          <w:szCs w:val="32"/>
          <w:lang w:val="en-US" w:eastAsia="zh-CN"/>
        </w:rPr>
        <w:t>2018年与2017年</w:t>
      </w:r>
      <w:r>
        <w:rPr>
          <w:rFonts w:asciiTheme="majorEastAsia" w:hAnsiTheme="majorEastAsia" w:eastAsiaTheme="majorEastAsia"/>
          <w:sz w:val="32"/>
          <w:szCs w:val="32"/>
        </w:rPr>
        <w:t>“三公”经费预算安排</w:t>
      </w:r>
      <w:r>
        <w:rPr>
          <w:rFonts w:hint="eastAsia" w:asciiTheme="majorEastAsia" w:hAnsiTheme="majorEastAsia" w:eastAsiaTheme="majorEastAsia"/>
          <w:sz w:val="32"/>
          <w:szCs w:val="32"/>
        </w:rPr>
        <w:t>相比降低</w:t>
      </w:r>
      <w:r>
        <w:rPr>
          <w:rFonts w:hint="eastAsia" w:asciiTheme="majorEastAsia" w:hAnsiTheme="majorEastAsia" w:eastAsiaTheme="majorEastAsia"/>
          <w:sz w:val="32"/>
          <w:szCs w:val="32"/>
          <w:lang w:val="en-US" w:eastAsia="zh-CN"/>
        </w:rPr>
        <w:t>11</w:t>
      </w:r>
      <w:r>
        <w:rPr>
          <w:rFonts w:hint="eastAsia" w:asciiTheme="majorEastAsia" w:hAnsiTheme="majorEastAsia" w:eastAsiaTheme="majorEastAsia"/>
          <w:sz w:val="32"/>
          <w:szCs w:val="32"/>
        </w:rPr>
        <w:t>万元</w:t>
      </w:r>
      <w:r>
        <w:rPr>
          <w:rFonts w:hint="eastAsia" w:asciiTheme="majorEastAsia" w:hAnsiTheme="majorEastAsia" w:eastAsiaTheme="majorEastAsia"/>
          <w:sz w:val="32"/>
          <w:szCs w:val="32"/>
          <w:lang w:val="en-US" w:eastAsia="zh-CN"/>
        </w:rPr>
        <w:t>主要为公务用车运行费减少。2017年</w:t>
      </w:r>
      <w:r>
        <w:rPr>
          <w:rFonts w:asciiTheme="majorEastAsia" w:hAnsiTheme="majorEastAsia" w:eastAsiaTheme="majorEastAsia"/>
          <w:sz w:val="32"/>
          <w:szCs w:val="32"/>
        </w:rPr>
        <w:t>“三公”经费</w:t>
      </w:r>
      <w:r>
        <w:rPr>
          <w:rFonts w:hint="eastAsia" w:asciiTheme="majorEastAsia" w:hAnsiTheme="majorEastAsia" w:eastAsiaTheme="majorEastAsia"/>
          <w:sz w:val="32"/>
          <w:szCs w:val="32"/>
          <w:lang w:val="en-US" w:eastAsia="zh-CN"/>
        </w:rPr>
        <w:t>决算数为 113.13万元，</w:t>
      </w:r>
      <w:r>
        <w:rPr>
          <w:rFonts w:asciiTheme="majorEastAsia" w:hAnsiTheme="majorEastAsia" w:eastAsiaTheme="majorEastAsia"/>
          <w:sz w:val="32"/>
          <w:szCs w:val="32"/>
        </w:rPr>
        <w:t>其中因公出国（境）费</w:t>
      </w:r>
      <w:r>
        <w:rPr>
          <w:rFonts w:hint="eastAsia" w:asciiTheme="majorEastAsia" w:hAnsiTheme="majorEastAsia" w:eastAsiaTheme="majorEastAsia"/>
          <w:sz w:val="32"/>
          <w:szCs w:val="32"/>
        </w:rPr>
        <w:t>0</w:t>
      </w:r>
      <w:r>
        <w:rPr>
          <w:rFonts w:asciiTheme="majorEastAsia" w:hAnsiTheme="majorEastAsia" w:eastAsiaTheme="majorEastAsia"/>
          <w:sz w:val="32"/>
          <w:szCs w:val="32"/>
        </w:rPr>
        <w:t>万元；公务用车购置及运维费</w:t>
      </w:r>
      <w:r>
        <w:rPr>
          <w:rFonts w:hint="eastAsia" w:asciiTheme="majorEastAsia" w:hAnsiTheme="majorEastAsia" w:eastAsiaTheme="majorEastAsia"/>
          <w:sz w:val="32"/>
          <w:szCs w:val="32"/>
        </w:rPr>
        <w:t xml:space="preserve"> </w:t>
      </w:r>
      <w:r>
        <w:rPr>
          <w:rFonts w:hint="eastAsia" w:asciiTheme="majorEastAsia" w:hAnsiTheme="majorEastAsia" w:eastAsiaTheme="majorEastAsia"/>
          <w:sz w:val="32"/>
          <w:szCs w:val="32"/>
          <w:lang w:val="en-US" w:eastAsia="zh-CN"/>
        </w:rPr>
        <w:t>113.13</w:t>
      </w:r>
      <w:r>
        <w:rPr>
          <w:rFonts w:asciiTheme="majorEastAsia" w:hAnsiTheme="majorEastAsia" w:eastAsiaTheme="majorEastAsia"/>
          <w:sz w:val="32"/>
          <w:szCs w:val="32"/>
        </w:rPr>
        <w:t>万元（其中：公务用车购置费为0万元，公务用车运维费</w:t>
      </w:r>
      <w:r>
        <w:rPr>
          <w:rFonts w:hint="eastAsia" w:asciiTheme="majorEastAsia" w:hAnsiTheme="majorEastAsia" w:eastAsiaTheme="majorEastAsia"/>
          <w:sz w:val="32"/>
          <w:szCs w:val="32"/>
        </w:rPr>
        <w:t xml:space="preserve"> </w:t>
      </w:r>
      <w:r>
        <w:rPr>
          <w:rFonts w:hint="eastAsia" w:asciiTheme="majorEastAsia" w:hAnsiTheme="majorEastAsia" w:eastAsiaTheme="majorEastAsia"/>
          <w:sz w:val="32"/>
          <w:szCs w:val="32"/>
          <w:lang w:val="en-US" w:eastAsia="zh-CN"/>
        </w:rPr>
        <w:t>113.13</w:t>
      </w:r>
      <w:r>
        <w:rPr>
          <w:rFonts w:hint="eastAsia" w:asciiTheme="majorEastAsia" w:hAnsiTheme="majorEastAsia" w:eastAsiaTheme="majorEastAsia"/>
          <w:sz w:val="32"/>
          <w:szCs w:val="32"/>
        </w:rPr>
        <w:t xml:space="preserve"> </w:t>
      </w:r>
      <w:r>
        <w:rPr>
          <w:rFonts w:asciiTheme="majorEastAsia" w:hAnsiTheme="majorEastAsia" w:eastAsiaTheme="majorEastAsia"/>
          <w:sz w:val="32"/>
          <w:szCs w:val="32"/>
        </w:rPr>
        <w:t>万元)；公务接待费</w:t>
      </w:r>
      <w:r>
        <w:rPr>
          <w:rFonts w:hint="eastAsia" w:asciiTheme="majorEastAsia" w:hAnsiTheme="majorEastAsia" w:eastAsiaTheme="majorEastAsia"/>
          <w:sz w:val="32"/>
          <w:szCs w:val="32"/>
        </w:rPr>
        <w:t xml:space="preserve"> 0</w:t>
      </w:r>
      <w:r>
        <w:rPr>
          <w:rFonts w:asciiTheme="majorEastAsia" w:hAnsiTheme="majorEastAsia" w:eastAsiaTheme="majorEastAsia"/>
          <w:sz w:val="32"/>
          <w:szCs w:val="32"/>
        </w:rPr>
        <w:t>万元。</w:t>
      </w:r>
    </w:p>
    <w:p>
      <w:pPr>
        <w:numPr>
          <w:ilvl w:val="0"/>
          <w:numId w:val="0"/>
        </w:numPr>
        <w:spacing w:line="400" w:lineRule="exact"/>
        <w:ind w:firstLine="640" w:firstLineChars="200"/>
        <w:rPr>
          <w:rFonts w:asciiTheme="majorEastAsia" w:hAnsiTheme="majorEastAsia" w:eastAsiaTheme="majorEastAsia"/>
          <w:sz w:val="32"/>
          <w:szCs w:val="32"/>
        </w:rPr>
      </w:pPr>
      <w:r>
        <w:rPr>
          <w:rFonts w:hint="eastAsia" w:asciiTheme="majorEastAsia" w:hAnsiTheme="majorEastAsia" w:eastAsiaTheme="majorEastAsia"/>
          <w:sz w:val="32"/>
          <w:szCs w:val="32"/>
          <w:lang w:val="en-US" w:eastAsia="zh-CN"/>
        </w:rPr>
        <w:t>2018年安排</w:t>
      </w:r>
      <w:r>
        <w:rPr>
          <w:rFonts w:asciiTheme="majorEastAsia" w:hAnsiTheme="majorEastAsia" w:eastAsiaTheme="majorEastAsia"/>
          <w:sz w:val="32"/>
          <w:szCs w:val="32"/>
        </w:rPr>
        <w:t>“三公”经费</w:t>
      </w:r>
      <w:r>
        <w:rPr>
          <w:rFonts w:hint="eastAsia" w:asciiTheme="majorEastAsia" w:hAnsiTheme="majorEastAsia" w:eastAsiaTheme="majorEastAsia"/>
          <w:sz w:val="32"/>
          <w:szCs w:val="32"/>
          <w:lang w:val="en-US" w:eastAsia="zh-CN"/>
        </w:rPr>
        <w:t>预算与2017年</w:t>
      </w:r>
      <w:r>
        <w:rPr>
          <w:rFonts w:asciiTheme="majorEastAsia" w:hAnsiTheme="majorEastAsia" w:eastAsiaTheme="majorEastAsia"/>
          <w:sz w:val="32"/>
          <w:szCs w:val="32"/>
        </w:rPr>
        <w:t>“三公”经费</w:t>
      </w:r>
      <w:r>
        <w:rPr>
          <w:rFonts w:hint="eastAsia" w:asciiTheme="majorEastAsia" w:hAnsiTheme="majorEastAsia" w:eastAsiaTheme="majorEastAsia"/>
          <w:sz w:val="32"/>
          <w:szCs w:val="32"/>
          <w:lang w:val="en-US" w:eastAsia="zh-CN"/>
        </w:rPr>
        <w:t>决算数相比下降34.13万元。</w:t>
      </w:r>
    </w:p>
    <w:p>
      <w:pPr>
        <w:spacing w:line="400" w:lineRule="exact"/>
        <w:ind w:firstLine="640" w:firstLineChars="200"/>
        <w:rPr>
          <w:rFonts w:hint="eastAsia" w:asciiTheme="majorEastAsia" w:hAnsiTheme="majorEastAsia" w:eastAsiaTheme="majorEastAsia"/>
          <w:sz w:val="32"/>
          <w:szCs w:val="32"/>
          <w:lang w:val="en-US" w:eastAsia="zh-CN"/>
        </w:rPr>
      </w:pPr>
    </w:p>
    <w:p>
      <w:pPr>
        <w:spacing w:line="400" w:lineRule="exact"/>
        <w:ind w:firstLine="640" w:firstLineChars="200"/>
        <w:rPr>
          <w:rFonts w:asciiTheme="majorEastAsia" w:hAnsiTheme="majorEastAsia" w:eastAsiaTheme="majorEastAsia"/>
          <w:sz w:val="32"/>
          <w:szCs w:val="32"/>
        </w:rPr>
      </w:pPr>
      <w:r>
        <w:rPr>
          <w:rFonts w:hint="eastAsia" w:asciiTheme="majorEastAsia" w:hAnsiTheme="majorEastAsia" w:eastAsiaTheme="majorEastAsia"/>
          <w:sz w:val="32"/>
          <w:szCs w:val="32"/>
          <w:lang w:val="en-US" w:eastAsia="zh-CN"/>
        </w:rPr>
        <w:t>5、</w:t>
      </w:r>
      <w:r>
        <w:rPr>
          <w:rFonts w:asciiTheme="majorEastAsia" w:hAnsiTheme="majorEastAsia" w:eastAsiaTheme="majorEastAsia"/>
          <w:sz w:val="32"/>
          <w:szCs w:val="32"/>
        </w:rPr>
        <w:t>绩效预算信息</w:t>
      </w:r>
    </w:p>
    <w:p>
      <w:pPr>
        <w:spacing w:line="400" w:lineRule="exact"/>
        <w:ind w:firstLine="320" w:firstLineChars="100"/>
        <w:rPr>
          <w:rFonts w:asciiTheme="majorEastAsia" w:hAnsiTheme="majorEastAsia" w:eastAsiaTheme="majorEastAsia"/>
          <w:b/>
          <w:sz w:val="32"/>
          <w:szCs w:val="32"/>
        </w:rPr>
      </w:pPr>
      <w:bookmarkStart w:id="2" w:name="page6"/>
      <w:bookmarkEnd w:id="2"/>
      <w:r>
        <w:rPr>
          <w:rFonts w:hint="eastAsia" w:asciiTheme="majorEastAsia" w:hAnsiTheme="majorEastAsia" w:eastAsiaTheme="majorEastAsia"/>
          <w:sz w:val="32"/>
          <w:szCs w:val="32"/>
          <w:lang w:eastAsia="zh-CN"/>
        </w:rPr>
        <w:t>（</w:t>
      </w:r>
      <w:r>
        <w:rPr>
          <w:rFonts w:hint="eastAsia" w:asciiTheme="majorEastAsia" w:hAnsiTheme="majorEastAsia" w:eastAsiaTheme="majorEastAsia"/>
          <w:sz w:val="32"/>
          <w:szCs w:val="32"/>
          <w:lang w:val="en-US" w:eastAsia="zh-CN"/>
        </w:rPr>
        <w:t>1</w:t>
      </w:r>
      <w:r>
        <w:rPr>
          <w:rFonts w:hint="eastAsia" w:asciiTheme="majorEastAsia" w:hAnsiTheme="majorEastAsia" w:eastAsiaTheme="majorEastAsia"/>
          <w:sz w:val="32"/>
          <w:szCs w:val="32"/>
          <w:lang w:eastAsia="zh-CN"/>
        </w:rPr>
        <w:t>）</w:t>
      </w:r>
      <w:r>
        <w:rPr>
          <w:rFonts w:asciiTheme="majorEastAsia" w:hAnsiTheme="majorEastAsia" w:eastAsiaTheme="majorEastAsia"/>
          <w:b/>
          <w:sz w:val="32"/>
          <w:szCs w:val="32"/>
        </w:rPr>
        <w:t>总体绩效目标：</w:t>
      </w:r>
    </w:p>
    <w:p>
      <w:pPr>
        <w:spacing w:line="400" w:lineRule="exact"/>
        <w:ind w:firstLine="640" w:firstLineChars="200"/>
        <w:rPr>
          <w:rFonts w:cs="宋体" w:asciiTheme="majorEastAsia" w:hAnsiTheme="majorEastAsia" w:eastAsiaTheme="majorEastAsia"/>
          <w:sz w:val="32"/>
          <w:szCs w:val="32"/>
        </w:rPr>
      </w:pPr>
      <w:r>
        <w:rPr>
          <w:rFonts w:hint="eastAsia" w:cs="宋体" w:asciiTheme="majorEastAsia" w:hAnsiTheme="majorEastAsia" w:eastAsiaTheme="majorEastAsia"/>
          <w:sz w:val="32"/>
          <w:szCs w:val="32"/>
        </w:rPr>
        <w:t>1） 通过对西柏坡历史和西柏坡的研究和宣传，全方位进行爱国主义教育和革命传统教育，弘扬社会正气，资政育人，为社会发展提供智力支持</w:t>
      </w:r>
      <w:r>
        <w:rPr>
          <w:rFonts w:hint="eastAsia" w:cs="宋体" w:asciiTheme="majorEastAsia" w:hAnsiTheme="majorEastAsia" w:eastAsiaTheme="majorEastAsia"/>
          <w:sz w:val="32"/>
          <w:szCs w:val="32"/>
          <w:lang w:eastAsia="zh-CN"/>
        </w:rPr>
        <w:t>。</w:t>
      </w:r>
    </w:p>
    <w:p>
      <w:pPr>
        <w:spacing w:line="400" w:lineRule="exact"/>
        <w:rPr>
          <w:rFonts w:cs="宋体" w:asciiTheme="majorEastAsia" w:hAnsiTheme="majorEastAsia" w:eastAsiaTheme="majorEastAsia"/>
          <w:sz w:val="32"/>
          <w:szCs w:val="32"/>
        </w:rPr>
      </w:pPr>
      <w:r>
        <w:rPr>
          <w:rFonts w:hint="eastAsia" w:cs="宋体" w:asciiTheme="majorEastAsia" w:hAnsiTheme="majorEastAsia" w:eastAsiaTheme="majorEastAsia"/>
          <w:sz w:val="32"/>
          <w:szCs w:val="32"/>
        </w:rPr>
        <w:t xml:space="preserve">    2）确保各项业务工作谋划到位，顺利进行开展，保障机关工作正常高效运转</w:t>
      </w:r>
      <w:r>
        <w:rPr>
          <w:rFonts w:hint="eastAsia" w:cs="宋体" w:asciiTheme="majorEastAsia" w:hAnsiTheme="majorEastAsia" w:eastAsiaTheme="majorEastAsia"/>
          <w:sz w:val="32"/>
          <w:szCs w:val="32"/>
          <w:lang w:eastAsia="zh-CN"/>
        </w:rPr>
        <w:t>。</w:t>
      </w:r>
    </w:p>
    <w:p>
      <w:pPr>
        <w:spacing w:line="400" w:lineRule="exact"/>
        <w:rPr>
          <w:rFonts w:cs="宋体" w:asciiTheme="majorEastAsia" w:hAnsiTheme="majorEastAsia" w:eastAsiaTheme="majorEastAsia"/>
          <w:sz w:val="32"/>
          <w:szCs w:val="32"/>
        </w:rPr>
      </w:pPr>
      <w:r>
        <w:rPr>
          <w:rFonts w:hint="eastAsia" w:cs="宋体" w:asciiTheme="majorEastAsia" w:hAnsiTheme="majorEastAsia" w:eastAsiaTheme="majorEastAsia"/>
          <w:sz w:val="32"/>
          <w:szCs w:val="32"/>
        </w:rPr>
        <w:t xml:space="preserve">    3）博物馆行业食宿配套措施，解决了观众食宿问题。</w:t>
      </w:r>
    </w:p>
    <w:p>
      <w:pPr>
        <w:spacing w:line="400" w:lineRule="exact"/>
        <w:rPr>
          <w:rFonts w:ascii="Times New Roman" w:hAnsi="Times New Roman" w:eastAsia="Times New Roman"/>
        </w:rPr>
      </w:pPr>
    </w:p>
    <w:p>
      <w:pPr>
        <w:spacing w:line="366" w:lineRule="exact"/>
        <w:ind w:left="560"/>
        <w:rPr>
          <w:rFonts w:ascii="宋体" w:hAnsi="宋体"/>
          <w:b/>
          <w:sz w:val="32"/>
        </w:rPr>
      </w:pPr>
      <w:bookmarkStart w:id="3" w:name="page11"/>
      <w:bookmarkEnd w:id="3"/>
      <w:r>
        <w:rPr>
          <w:rFonts w:hint="eastAsia" w:asciiTheme="majorEastAsia" w:hAnsiTheme="majorEastAsia" w:eastAsiaTheme="majorEastAsia"/>
          <w:sz w:val="32"/>
          <w:szCs w:val="32"/>
          <w:lang w:eastAsia="zh-CN"/>
        </w:rPr>
        <w:t>（</w:t>
      </w:r>
      <w:r>
        <w:rPr>
          <w:rFonts w:hint="eastAsia" w:asciiTheme="majorEastAsia" w:hAnsiTheme="majorEastAsia" w:eastAsiaTheme="majorEastAsia"/>
          <w:sz w:val="32"/>
          <w:szCs w:val="32"/>
          <w:lang w:val="en-US" w:eastAsia="zh-CN"/>
        </w:rPr>
        <w:t>2</w:t>
      </w:r>
      <w:r>
        <w:rPr>
          <w:rFonts w:hint="eastAsia" w:asciiTheme="majorEastAsia" w:hAnsiTheme="majorEastAsia" w:eastAsiaTheme="majorEastAsia"/>
          <w:sz w:val="32"/>
          <w:szCs w:val="32"/>
          <w:lang w:eastAsia="zh-CN"/>
        </w:rPr>
        <w:t>）</w:t>
      </w:r>
      <w:r>
        <w:rPr>
          <w:rFonts w:ascii="宋体" w:hAnsi="宋体"/>
          <w:b/>
          <w:sz w:val="32"/>
        </w:rPr>
        <w:t>部门职责及工作活动绩效目标</w:t>
      </w:r>
    </w:p>
    <w:p>
      <w:pPr>
        <w:spacing w:line="366" w:lineRule="exact"/>
        <w:ind w:firstLine="720" w:firstLineChars="300"/>
        <w:rPr>
          <w:rFonts w:hint="eastAsia" w:ascii="宋体" w:hAnsi="宋体" w:eastAsia="宋体"/>
          <w:b w:val="0"/>
          <w:bCs/>
          <w:sz w:val="24"/>
          <w:szCs w:val="24"/>
          <w:lang w:val="en-US" w:eastAsia="zh-CN"/>
        </w:rPr>
      </w:pPr>
      <w:r>
        <w:rPr>
          <w:rFonts w:hint="eastAsia" w:ascii="宋体" w:hAnsi="宋体"/>
          <w:b w:val="0"/>
          <w:bCs/>
          <w:sz w:val="24"/>
          <w:szCs w:val="24"/>
          <w:lang w:val="en-US" w:eastAsia="zh-CN"/>
        </w:rPr>
        <w:t xml:space="preserve">533西柏坡纪念馆  </w:t>
      </w:r>
      <w:r>
        <w:rPr>
          <w:rFonts w:hint="eastAsia" w:ascii="宋体" w:hAnsi="宋体"/>
          <w:b/>
          <w:sz w:val="24"/>
          <w:szCs w:val="24"/>
          <w:lang w:val="en-US" w:eastAsia="zh-CN"/>
        </w:rPr>
        <w:t xml:space="preserve">                                                                               </w:t>
      </w:r>
      <w:r>
        <w:rPr>
          <w:rFonts w:hint="eastAsia" w:ascii="宋体" w:hAnsi="宋体"/>
          <w:b w:val="0"/>
          <w:bCs/>
          <w:sz w:val="24"/>
          <w:szCs w:val="24"/>
          <w:lang w:val="en-US" w:eastAsia="zh-CN"/>
        </w:rPr>
        <w:t>单位：万元</w:t>
      </w:r>
    </w:p>
    <w:tbl>
      <w:tblPr>
        <w:tblStyle w:val="5"/>
        <w:tblpPr w:leftFromText="180" w:rightFromText="180" w:vertAnchor="text" w:horzAnchor="page" w:tblpX="2077" w:tblpY="441"/>
        <w:tblOverlap w:val="never"/>
        <w:tblW w:w="13340" w:type="dxa"/>
        <w:tblInd w:w="0" w:type="dxa"/>
        <w:tblLayout w:type="fixed"/>
        <w:tblCellMar>
          <w:top w:w="0" w:type="dxa"/>
          <w:left w:w="108" w:type="dxa"/>
          <w:bottom w:w="0" w:type="dxa"/>
          <w:right w:w="108" w:type="dxa"/>
        </w:tblCellMar>
      </w:tblPr>
      <w:tblGrid>
        <w:gridCol w:w="2000"/>
        <w:gridCol w:w="891"/>
        <w:gridCol w:w="1802"/>
        <w:gridCol w:w="2693"/>
        <w:gridCol w:w="1248"/>
        <w:gridCol w:w="616"/>
        <w:gridCol w:w="779"/>
        <w:gridCol w:w="1077"/>
        <w:gridCol w:w="2234"/>
      </w:tblGrid>
      <w:tr>
        <w:tblPrEx>
          <w:tblLayout w:type="fixed"/>
          <w:tblCellMar>
            <w:top w:w="0" w:type="dxa"/>
            <w:left w:w="108" w:type="dxa"/>
            <w:bottom w:w="0" w:type="dxa"/>
            <w:right w:w="108" w:type="dxa"/>
          </w:tblCellMar>
        </w:tblPrEx>
        <w:trPr>
          <w:trHeight w:val="222" w:hRule="atLeast"/>
        </w:trPr>
        <w:tc>
          <w:tcPr>
            <w:tcW w:w="200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黑体" w:hAnsi="黑体" w:eastAsia="黑体" w:cs="宋体"/>
                <w:color w:val="000000"/>
              </w:rPr>
            </w:pPr>
            <w:r>
              <w:rPr>
                <w:rFonts w:hint="eastAsia" w:ascii="黑体" w:hAnsi="黑体" w:eastAsia="黑体" w:cs="宋体"/>
                <w:color w:val="000000"/>
              </w:rPr>
              <w:t>部门职责</w:t>
            </w:r>
          </w:p>
        </w:tc>
        <w:tc>
          <w:tcPr>
            <w:tcW w:w="89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黑体" w:hAnsi="黑体" w:eastAsia="黑体" w:cs="宋体"/>
                <w:color w:val="000000"/>
              </w:rPr>
            </w:pPr>
            <w:r>
              <w:rPr>
                <w:rFonts w:hint="eastAsia" w:ascii="黑体" w:hAnsi="黑体" w:eastAsia="黑体" w:cs="宋体"/>
                <w:color w:val="000000"/>
              </w:rPr>
              <w:t>年度预算数</w:t>
            </w:r>
          </w:p>
        </w:tc>
        <w:tc>
          <w:tcPr>
            <w:tcW w:w="1802"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黑体" w:hAnsi="黑体" w:eastAsia="黑体" w:cs="宋体"/>
                <w:color w:val="000000"/>
              </w:rPr>
            </w:pPr>
            <w:r>
              <w:rPr>
                <w:rFonts w:hint="eastAsia" w:ascii="黑体" w:hAnsi="黑体" w:eastAsia="黑体" w:cs="宋体"/>
                <w:color w:val="000000"/>
              </w:rPr>
              <w:t>内容描述</w:t>
            </w:r>
          </w:p>
        </w:tc>
        <w:tc>
          <w:tcPr>
            <w:tcW w:w="269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黑体" w:hAnsi="黑体" w:eastAsia="黑体" w:cs="宋体"/>
                <w:color w:val="000000"/>
              </w:rPr>
            </w:pPr>
            <w:r>
              <w:rPr>
                <w:rFonts w:hint="eastAsia" w:ascii="黑体" w:hAnsi="黑体" w:eastAsia="黑体" w:cs="宋体"/>
                <w:color w:val="000000"/>
              </w:rPr>
              <w:t>绩效目标</w:t>
            </w:r>
          </w:p>
        </w:tc>
        <w:tc>
          <w:tcPr>
            <w:tcW w:w="124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黑体" w:hAnsi="黑体" w:eastAsia="黑体" w:cs="宋体"/>
                <w:color w:val="000000"/>
              </w:rPr>
            </w:pPr>
            <w:r>
              <w:rPr>
                <w:rFonts w:hint="eastAsia" w:ascii="黑体" w:hAnsi="黑体" w:eastAsia="黑体" w:cs="宋体"/>
                <w:color w:val="000000"/>
              </w:rPr>
              <w:t>绩效指标</w:t>
            </w:r>
          </w:p>
        </w:tc>
        <w:tc>
          <w:tcPr>
            <w:tcW w:w="4706" w:type="dxa"/>
            <w:gridSpan w:val="4"/>
            <w:tcBorders>
              <w:top w:val="single" w:color="auto" w:sz="4" w:space="0"/>
              <w:left w:val="nil"/>
              <w:bottom w:val="single" w:color="auto" w:sz="4" w:space="0"/>
              <w:right w:val="single" w:color="auto" w:sz="4" w:space="0"/>
            </w:tcBorders>
            <w:shd w:val="clear" w:color="auto" w:fill="auto"/>
            <w:vAlign w:val="center"/>
          </w:tcPr>
          <w:p>
            <w:pPr>
              <w:jc w:val="center"/>
              <w:rPr>
                <w:rFonts w:ascii="宋体" w:hAnsi="宋体" w:cs="宋体"/>
                <w:color w:val="000000"/>
              </w:rPr>
            </w:pPr>
            <w:r>
              <w:rPr>
                <w:rFonts w:hint="eastAsia" w:ascii="宋体" w:hAnsi="宋体" w:cs="宋体"/>
                <w:color w:val="000000"/>
              </w:rPr>
              <w:t>评价标准</w:t>
            </w:r>
          </w:p>
        </w:tc>
      </w:tr>
      <w:tr>
        <w:tblPrEx>
          <w:tblLayout w:type="fixed"/>
          <w:tblCellMar>
            <w:top w:w="0" w:type="dxa"/>
            <w:left w:w="108" w:type="dxa"/>
            <w:bottom w:w="0" w:type="dxa"/>
            <w:right w:w="108" w:type="dxa"/>
          </w:tblCellMar>
        </w:tblPrEx>
        <w:trPr>
          <w:trHeight w:val="282" w:hRule="atLeast"/>
        </w:trPr>
        <w:tc>
          <w:tcPr>
            <w:tcW w:w="2000" w:type="dxa"/>
            <w:vMerge w:val="continue"/>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宋体"/>
                <w:color w:val="000000"/>
              </w:rPr>
            </w:pPr>
          </w:p>
        </w:tc>
        <w:tc>
          <w:tcPr>
            <w:tcW w:w="891" w:type="dxa"/>
            <w:vMerge w:val="continue"/>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宋体"/>
                <w:color w:val="000000"/>
              </w:rPr>
            </w:pPr>
          </w:p>
        </w:tc>
        <w:tc>
          <w:tcPr>
            <w:tcW w:w="1802" w:type="dxa"/>
            <w:vMerge w:val="continue"/>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宋体"/>
                <w:color w:val="000000"/>
              </w:rPr>
            </w:pPr>
          </w:p>
        </w:tc>
        <w:tc>
          <w:tcPr>
            <w:tcW w:w="2693" w:type="dxa"/>
            <w:vMerge w:val="continue"/>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宋体"/>
                <w:color w:val="000000"/>
              </w:rPr>
            </w:pPr>
          </w:p>
        </w:tc>
        <w:tc>
          <w:tcPr>
            <w:tcW w:w="1248" w:type="dxa"/>
            <w:vMerge w:val="continue"/>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宋体"/>
                <w:color w:val="000000"/>
              </w:rPr>
            </w:pPr>
          </w:p>
        </w:tc>
        <w:tc>
          <w:tcPr>
            <w:tcW w:w="616" w:type="dxa"/>
            <w:tcBorders>
              <w:top w:val="nil"/>
              <w:left w:val="nil"/>
              <w:bottom w:val="single" w:color="auto" w:sz="4" w:space="0"/>
              <w:right w:val="single" w:color="auto" w:sz="4" w:space="0"/>
            </w:tcBorders>
            <w:shd w:val="clear" w:color="000000" w:fill="FFFFFF"/>
            <w:vAlign w:val="center"/>
          </w:tcPr>
          <w:p>
            <w:pPr>
              <w:rPr>
                <w:rFonts w:ascii="宋体" w:hAnsi="宋体" w:cs="宋体"/>
                <w:color w:val="000000"/>
              </w:rPr>
            </w:pPr>
            <w:r>
              <w:rPr>
                <w:rFonts w:hint="eastAsia" w:ascii="宋体" w:hAnsi="宋体" w:cs="宋体"/>
                <w:color w:val="000000"/>
              </w:rPr>
              <w:t>优</w:t>
            </w:r>
          </w:p>
        </w:tc>
        <w:tc>
          <w:tcPr>
            <w:tcW w:w="779" w:type="dxa"/>
            <w:tcBorders>
              <w:top w:val="nil"/>
              <w:left w:val="nil"/>
              <w:bottom w:val="single" w:color="auto" w:sz="4" w:space="0"/>
              <w:right w:val="single" w:color="auto" w:sz="4" w:space="0"/>
            </w:tcBorders>
            <w:shd w:val="clear" w:color="000000" w:fill="FFFFFF"/>
            <w:vAlign w:val="center"/>
          </w:tcPr>
          <w:p>
            <w:pPr>
              <w:rPr>
                <w:rFonts w:ascii="宋体" w:hAnsi="宋体" w:cs="宋体"/>
                <w:color w:val="000000"/>
              </w:rPr>
            </w:pPr>
            <w:r>
              <w:rPr>
                <w:rFonts w:hint="eastAsia" w:ascii="宋体" w:hAnsi="宋体" w:cs="宋体"/>
                <w:color w:val="000000"/>
              </w:rPr>
              <w:t>良</w:t>
            </w:r>
          </w:p>
        </w:tc>
        <w:tc>
          <w:tcPr>
            <w:tcW w:w="1077" w:type="dxa"/>
            <w:tcBorders>
              <w:top w:val="nil"/>
              <w:left w:val="nil"/>
              <w:bottom w:val="single" w:color="auto" w:sz="4" w:space="0"/>
              <w:right w:val="single" w:color="auto" w:sz="4" w:space="0"/>
            </w:tcBorders>
            <w:shd w:val="clear" w:color="000000" w:fill="FFFFFF"/>
            <w:vAlign w:val="center"/>
          </w:tcPr>
          <w:p>
            <w:pPr>
              <w:rPr>
                <w:rFonts w:ascii="宋体" w:hAnsi="宋体" w:cs="宋体"/>
                <w:color w:val="000000"/>
              </w:rPr>
            </w:pPr>
            <w:r>
              <w:rPr>
                <w:rFonts w:hint="eastAsia" w:ascii="宋体" w:hAnsi="宋体" w:cs="宋体"/>
                <w:color w:val="000000"/>
              </w:rPr>
              <w:t>中</w:t>
            </w:r>
          </w:p>
        </w:tc>
        <w:tc>
          <w:tcPr>
            <w:tcW w:w="2234" w:type="dxa"/>
            <w:tcBorders>
              <w:top w:val="nil"/>
              <w:left w:val="nil"/>
              <w:bottom w:val="single" w:color="auto" w:sz="4" w:space="0"/>
              <w:right w:val="single" w:color="auto" w:sz="4" w:space="0"/>
            </w:tcBorders>
            <w:shd w:val="clear" w:color="000000" w:fill="FFFFFF"/>
            <w:vAlign w:val="center"/>
          </w:tcPr>
          <w:p>
            <w:pPr>
              <w:rPr>
                <w:rFonts w:ascii="宋体" w:hAnsi="宋体" w:cs="宋体"/>
                <w:color w:val="000000"/>
              </w:rPr>
            </w:pPr>
            <w:r>
              <w:rPr>
                <w:rFonts w:hint="eastAsia" w:ascii="宋体" w:hAnsi="宋体" w:cs="宋体"/>
                <w:color w:val="000000"/>
              </w:rPr>
              <w:t>差</w:t>
            </w:r>
          </w:p>
        </w:tc>
      </w:tr>
      <w:tr>
        <w:tblPrEx>
          <w:tblLayout w:type="fixed"/>
          <w:tblCellMar>
            <w:top w:w="0" w:type="dxa"/>
            <w:left w:w="108" w:type="dxa"/>
            <w:bottom w:w="0" w:type="dxa"/>
            <w:right w:w="108" w:type="dxa"/>
          </w:tblCellMar>
        </w:tblPrEx>
        <w:trPr>
          <w:trHeight w:val="1785" w:hRule="atLeast"/>
        </w:trPr>
        <w:tc>
          <w:tcPr>
            <w:tcW w:w="2000" w:type="dxa"/>
            <w:tcBorders>
              <w:top w:val="nil"/>
              <w:left w:val="single" w:color="auto" w:sz="4" w:space="0"/>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开展爱国主义教育、廉政教育、国家安全教育和革命传统教育等相关工作。</w:t>
            </w:r>
          </w:p>
        </w:tc>
        <w:tc>
          <w:tcPr>
            <w:tcW w:w="891"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276</w:t>
            </w:r>
          </w:p>
        </w:tc>
        <w:tc>
          <w:tcPr>
            <w:tcW w:w="1802"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利用西柏坡红色文化资源，开展爱国主义教育和革命传统宣传和教育</w:t>
            </w:r>
          </w:p>
        </w:tc>
        <w:tc>
          <w:tcPr>
            <w:tcW w:w="2693"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通过对西柏坡历史和西柏坡的研究和宣传，全方位进行爱国主义教育和革命传统教育，弘扬社会正气，资政育人，为社会发展提供智力支持</w:t>
            </w:r>
          </w:p>
        </w:tc>
        <w:tc>
          <w:tcPr>
            <w:tcW w:w="1248" w:type="dxa"/>
            <w:tcBorders>
              <w:top w:val="nil"/>
              <w:left w:val="nil"/>
              <w:bottom w:val="single" w:color="auto" w:sz="4" w:space="0"/>
              <w:right w:val="single" w:color="auto" w:sz="4" w:space="0"/>
            </w:tcBorders>
            <w:shd w:val="clear" w:color="auto" w:fill="auto"/>
            <w:vAlign w:val="center"/>
          </w:tcPr>
          <w:p>
            <w:pPr>
              <w:rPr>
                <w:rFonts w:ascii="宋体" w:hAnsi="宋体" w:cs="宋体"/>
                <w:sz w:val="18"/>
                <w:szCs w:val="18"/>
              </w:rPr>
            </w:pPr>
            <w:r>
              <w:rPr>
                <w:rFonts w:hint="eastAsia" w:ascii="宋体" w:hAnsi="宋体" w:cs="宋体"/>
                <w:sz w:val="18"/>
                <w:szCs w:val="18"/>
              </w:rPr>
              <w:t>　</w:t>
            </w:r>
          </w:p>
        </w:tc>
        <w:tc>
          <w:tcPr>
            <w:tcW w:w="616"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　</w:t>
            </w:r>
          </w:p>
        </w:tc>
        <w:tc>
          <w:tcPr>
            <w:tcW w:w="779"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　</w:t>
            </w:r>
          </w:p>
        </w:tc>
        <w:tc>
          <w:tcPr>
            <w:tcW w:w="1077"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　</w:t>
            </w:r>
          </w:p>
        </w:tc>
        <w:tc>
          <w:tcPr>
            <w:tcW w:w="2234"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　</w:t>
            </w:r>
          </w:p>
        </w:tc>
      </w:tr>
      <w:tr>
        <w:tblPrEx>
          <w:tblLayout w:type="fixed"/>
          <w:tblCellMar>
            <w:top w:w="0" w:type="dxa"/>
            <w:left w:w="108" w:type="dxa"/>
            <w:bottom w:w="0" w:type="dxa"/>
            <w:right w:w="108" w:type="dxa"/>
          </w:tblCellMar>
        </w:tblPrEx>
        <w:trPr>
          <w:trHeight w:val="1002" w:hRule="atLeast"/>
        </w:trPr>
        <w:tc>
          <w:tcPr>
            <w:tcW w:w="2000"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rFonts w:ascii="宋体" w:hAnsi="宋体" w:cs="宋体"/>
              </w:rPr>
            </w:pPr>
            <w:r>
              <w:rPr>
                <w:rFonts w:hint="eastAsia" w:ascii="宋体" w:hAnsi="宋体" w:cs="宋体"/>
              </w:rPr>
              <w:t>西柏坡精神宣传和研究活动</w:t>
            </w:r>
          </w:p>
        </w:tc>
        <w:tc>
          <w:tcPr>
            <w:tcW w:w="891"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rFonts w:ascii="宋体" w:hAnsi="宋体" w:cs="宋体"/>
              </w:rPr>
            </w:pPr>
            <w:r>
              <w:rPr>
                <w:rFonts w:hint="eastAsia" w:ascii="宋体" w:hAnsi="宋体" w:cs="宋体"/>
              </w:rPr>
              <w:t>81</w:t>
            </w:r>
          </w:p>
        </w:tc>
        <w:tc>
          <w:tcPr>
            <w:tcW w:w="1802"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rFonts w:ascii="宋体" w:hAnsi="宋体" w:cs="宋体"/>
              </w:rPr>
            </w:pPr>
            <w:r>
              <w:rPr>
                <w:rFonts w:hint="eastAsia" w:ascii="宋体" w:hAnsi="宋体" w:cs="宋体"/>
              </w:rPr>
              <w:t>召开系列研讨会、出版相关研究书籍、刊物，举办红色公益巡回演出，多种形式宣传西柏坡，弘扬革命精神.</w:t>
            </w:r>
          </w:p>
        </w:tc>
        <w:tc>
          <w:tcPr>
            <w:tcW w:w="2693"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rFonts w:ascii="宋体" w:hAnsi="宋体" w:cs="宋体"/>
              </w:rPr>
            </w:pPr>
            <w:r>
              <w:rPr>
                <w:rFonts w:hint="eastAsia" w:ascii="宋体" w:hAnsi="宋体" w:cs="宋体"/>
              </w:rPr>
              <w:t>召开系列西柏坡精神研讨会，对西柏坡精神进行深度探讨和创新；出版西柏坡研究系列丛书，多角度全方位阐释西柏坡精神；举办红色故事会或公益演出，多种形式宣传西柏坡精神，使西柏坡成为宣传红色文化的重要阵地，利用红色资料提供社会各界的“文化自信”助力社会发展</w:t>
            </w:r>
          </w:p>
        </w:tc>
        <w:tc>
          <w:tcPr>
            <w:tcW w:w="1248"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召开研讨会次数</w:t>
            </w:r>
          </w:p>
        </w:tc>
        <w:tc>
          <w:tcPr>
            <w:tcW w:w="616"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≥4次</w:t>
            </w:r>
          </w:p>
        </w:tc>
        <w:tc>
          <w:tcPr>
            <w:tcW w:w="779"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≥3次</w:t>
            </w:r>
          </w:p>
        </w:tc>
        <w:tc>
          <w:tcPr>
            <w:tcW w:w="1077"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≥2次</w:t>
            </w:r>
          </w:p>
        </w:tc>
        <w:tc>
          <w:tcPr>
            <w:tcW w:w="2234"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＜1次</w:t>
            </w:r>
          </w:p>
        </w:tc>
      </w:tr>
      <w:tr>
        <w:tblPrEx>
          <w:tblLayout w:type="fixed"/>
          <w:tblCellMar>
            <w:top w:w="0" w:type="dxa"/>
            <w:left w:w="108" w:type="dxa"/>
            <w:bottom w:w="0" w:type="dxa"/>
            <w:right w:w="108" w:type="dxa"/>
          </w:tblCellMar>
        </w:tblPrEx>
        <w:trPr>
          <w:trHeight w:val="1380" w:hRule="atLeast"/>
        </w:trPr>
        <w:tc>
          <w:tcPr>
            <w:tcW w:w="2000" w:type="dxa"/>
            <w:vMerge w:val="continue"/>
            <w:tcBorders>
              <w:top w:val="nil"/>
              <w:left w:val="single" w:color="auto" w:sz="4" w:space="0"/>
              <w:bottom w:val="single" w:color="auto" w:sz="4" w:space="0"/>
              <w:right w:val="single" w:color="auto" w:sz="4" w:space="0"/>
            </w:tcBorders>
            <w:vAlign w:val="center"/>
          </w:tcPr>
          <w:p>
            <w:pPr>
              <w:rPr>
                <w:rFonts w:ascii="宋体" w:hAnsi="宋体" w:cs="宋体"/>
              </w:rPr>
            </w:pPr>
          </w:p>
        </w:tc>
        <w:tc>
          <w:tcPr>
            <w:tcW w:w="891" w:type="dxa"/>
            <w:vMerge w:val="continue"/>
            <w:tcBorders>
              <w:top w:val="nil"/>
              <w:left w:val="single" w:color="auto" w:sz="4" w:space="0"/>
              <w:bottom w:val="single" w:color="auto" w:sz="4" w:space="0"/>
              <w:right w:val="single" w:color="auto" w:sz="4" w:space="0"/>
            </w:tcBorders>
            <w:vAlign w:val="center"/>
          </w:tcPr>
          <w:p>
            <w:pPr>
              <w:rPr>
                <w:rFonts w:ascii="宋体" w:hAnsi="宋体" w:cs="宋体"/>
              </w:rPr>
            </w:pPr>
          </w:p>
        </w:tc>
        <w:tc>
          <w:tcPr>
            <w:tcW w:w="1802" w:type="dxa"/>
            <w:vMerge w:val="continue"/>
            <w:tcBorders>
              <w:top w:val="nil"/>
              <w:left w:val="single" w:color="auto" w:sz="4" w:space="0"/>
              <w:bottom w:val="single" w:color="auto" w:sz="4" w:space="0"/>
              <w:right w:val="single" w:color="auto" w:sz="4" w:space="0"/>
            </w:tcBorders>
            <w:vAlign w:val="center"/>
          </w:tcPr>
          <w:p>
            <w:pPr>
              <w:rPr>
                <w:rFonts w:ascii="宋体" w:hAnsi="宋体" w:cs="宋体"/>
              </w:rPr>
            </w:pPr>
          </w:p>
        </w:tc>
        <w:tc>
          <w:tcPr>
            <w:tcW w:w="2693" w:type="dxa"/>
            <w:vMerge w:val="continue"/>
            <w:tcBorders>
              <w:top w:val="nil"/>
              <w:left w:val="single" w:color="auto" w:sz="4" w:space="0"/>
              <w:bottom w:val="single" w:color="auto" w:sz="4" w:space="0"/>
              <w:right w:val="single" w:color="auto" w:sz="4" w:space="0"/>
            </w:tcBorders>
            <w:vAlign w:val="center"/>
          </w:tcPr>
          <w:p>
            <w:pPr>
              <w:rPr>
                <w:rFonts w:ascii="宋体" w:hAnsi="宋体" w:cs="宋体"/>
              </w:rPr>
            </w:pPr>
          </w:p>
        </w:tc>
        <w:tc>
          <w:tcPr>
            <w:tcW w:w="1248"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举办公益演出场次</w:t>
            </w:r>
          </w:p>
        </w:tc>
        <w:tc>
          <w:tcPr>
            <w:tcW w:w="616"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≥50场</w:t>
            </w:r>
          </w:p>
        </w:tc>
        <w:tc>
          <w:tcPr>
            <w:tcW w:w="779"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≥45场</w:t>
            </w:r>
          </w:p>
        </w:tc>
        <w:tc>
          <w:tcPr>
            <w:tcW w:w="1077"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≥10场</w:t>
            </w:r>
          </w:p>
        </w:tc>
        <w:tc>
          <w:tcPr>
            <w:tcW w:w="2234"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＜10场</w:t>
            </w:r>
          </w:p>
        </w:tc>
      </w:tr>
      <w:tr>
        <w:tblPrEx>
          <w:tblLayout w:type="fixed"/>
          <w:tblCellMar>
            <w:top w:w="0" w:type="dxa"/>
            <w:left w:w="108" w:type="dxa"/>
            <w:bottom w:w="0" w:type="dxa"/>
            <w:right w:w="108" w:type="dxa"/>
          </w:tblCellMar>
        </w:tblPrEx>
        <w:trPr>
          <w:trHeight w:val="930" w:hRule="atLeast"/>
        </w:trPr>
        <w:tc>
          <w:tcPr>
            <w:tcW w:w="2000" w:type="dxa"/>
            <w:vMerge w:val="continue"/>
            <w:tcBorders>
              <w:top w:val="nil"/>
              <w:left w:val="single" w:color="auto" w:sz="4" w:space="0"/>
              <w:bottom w:val="single" w:color="auto" w:sz="4" w:space="0"/>
              <w:right w:val="single" w:color="auto" w:sz="4" w:space="0"/>
            </w:tcBorders>
            <w:vAlign w:val="center"/>
          </w:tcPr>
          <w:p>
            <w:pPr>
              <w:rPr>
                <w:rFonts w:ascii="宋体" w:hAnsi="宋体" w:cs="宋体"/>
              </w:rPr>
            </w:pPr>
          </w:p>
        </w:tc>
        <w:tc>
          <w:tcPr>
            <w:tcW w:w="891" w:type="dxa"/>
            <w:vMerge w:val="continue"/>
            <w:tcBorders>
              <w:top w:val="nil"/>
              <w:left w:val="single" w:color="auto" w:sz="4" w:space="0"/>
              <w:bottom w:val="single" w:color="auto" w:sz="4" w:space="0"/>
              <w:right w:val="single" w:color="auto" w:sz="4" w:space="0"/>
            </w:tcBorders>
            <w:vAlign w:val="center"/>
          </w:tcPr>
          <w:p>
            <w:pPr>
              <w:rPr>
                <w:rFonts w:ascii="宋体" w:hAnsi="宋体" w:cs="宋体"/>
              </w:rPr>
            </w:pPr>
          </w:p>
        </w:tc>
        <w:tc>
          <w:tcPr>
            <w:tcW w:w="1802" w:type="dxa"/>
            <w:vMerge w:val="continue"/>
            <w:tcBorders>
              <w:top w:val="nil"/>
              <w:left w:val="single" w:color="auto" w:sz="4" w:space="0"/>
              <w:bottom w:val="single" w:color="auto" w:sz="4" w:space="0"/>
              <w:right w:val="single" w:color="auto" w:sz="4" w:space="0"/>
            </w:tcBorders>
            <w:vAlign w:val="center"/>
          </w:tcPr>
          <w:p>
            <w:pPr>
              <w:rPr>
                <w:rFonts w:ascii="宋体" w:hAnsi="宋体" w:cs="宋体"/>
              </w:rPr>
            </w:pPr>
          </w:p>
        </w:tc>
        <w:tc>
          <w:tcPr>
            <w:tcW w:w="2693" w:type="dxa"/>
            <w:vMerge w:val="continue"/>
            <w:tcBorders>
              <w:top w:val="nil"/>
              <w:left w:val="single" w:color="auto" w:sz="4" w:space="0"/>
              <w:bottom w:val="single" w:color="auto" w:sz="4" w:space="0"/>
              <w:right w:val="single" w:color="auto" w:sz="4" w:space="0"/>
            </w:tcBorders>
            <w:vAlign w:val="center"/>
          </w:tcPr>
          <w:p>
            <w:pPr>
              <w:rPr>
                <w:rFonts w:ascii="宋体" w:hAnsi="宋体" w:cs="宋体"/>
              </w:rPr>
            </w:pPr>
          </w:p>
        </w:tc>
        <w:tc>
          <w:tcPr>
            <w:tcW w:w="1248"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出版系列丛书、书籍、馆刊本数</w:t>
            </w:r>
          </w:p>
        </w:tc>
        <w:tc>
          <w:tcPr>
            <w:tcW w:w="616"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≥10本</w:t>
            </w:r>
          </w:p>
        </w:tc>
        <w:tc>
          <w:tcPr>
            <w:tcW w:w="779"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≥8本</w:t>
            </w:r>
          </w:p>
        </w:tc>
        <w:tc>
          <w:tcPr>
            <w:tcW w:w="1077"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≥5本</w:t>
            </w:r>
          </w:p>
        </w:tc>
        <w:tc>
          <w:tcPr>
            <w:tcW w:w="2234"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＜5本</w:t>
            </w:r>
          </w:p>
        </w:tc>
      </w:tr>
      <w:tr>
        <w:tblPrEx>
          <w:tblLayout w:type="fixed"/>
          <w:tblCellMar>
            <w:top w:w="0" w:type="dxa"/>
            <w:left w:w="108" w:type="dxa"/>
            <w:bottom w:w="0" w:type="dxa"/>
            <w:right w:w="108" w:type="dxa"/>
          </w:tblCellMar>
        </w:tblPrEx>
        <w:trPr>
          <w:trHeight w:val="2820" w:hRule="atLeast"/>
        </w:trPr>
        <w:tc>
          <w:tcPr>
            <w:tcW w:w="2000" w:type="dxa"/>
            <w:tcBorders>
              <w:top w:val="nil"/>
              <w:left w:val="single" w:color="auto" w:sz="4" w:space="0"/>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讲解员管理和培训活动</w:t>
            </w:r>
          </w:p>
        </w:tc>
        <w:tc>
          <w:tcPr>
            <w:tcW w:w="891"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115</w:t>
            </w:r>
          </w:p>
        </w:tc>
        <w:tc>
          <w:tcPr>
            <w:tcW w:w="1802"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对讲解员进行业务和岗位职责培训，精细化管理，通过“请进来，走出去”、内部培养、进修、轮训等方式，加快对现有讲解员的培训，提升专业水平和文化素养</w:t>
            </w:r>
          </w:p>
        </w:tc>
        <w:tc>
          <w:tcPr>
            <w:tcW w:w="2693"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举办培训班，通过“请进来，走出去”、内部培养、进修、轮训等方式，加快对现有讲解员的培训，提升专业水平和文化素养，努力成为全国讲解员队伍的排头兵和领头雁。</w:t>
            </w:r>
          </w:p>
        </w:tc>
        <w:tc>
          <w:tcPr>
            <w:tcW w:w="1248"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培训的次数</w:t>
            </w:r>
          </w:p>
        </w:tc>
        <w:tc>
          <w:tcPr>
            <w:tcW w:w="616"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≥12次</w:t>
            </w:r>
          </w:p>
        </w:tc>
        <w:tc>
          <w:tcPr>
            <w:tcW w:w="779"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≥10次</w:t>
            </w:r>
          </w:p>
        </w:tc>
        <w:tc>
          <w:tcPr>
            <w:tcW w:w="1077"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≥8次</w:t>
            </w:r>
          </w:p>
        </w:tc>
        <w:tc>
          <w:tcPr>
            <w:tcW w:w="2234"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＜5次</w:t>
            </w:r>
          </w:p>
        </w:tc>
      </w:tr>
      <w:tr>
        <w:tblPrEx>
          <w:tblLayout w:type="fixed"/>
          <w:tblCellMar>
            <w:top w:w="0" w:type="dxa"/>
            <w:left w:w="108" w:type="dxa"/>
            <w:bottom w:w="0" w:type="dxa"/>
            <w:right w:w="108" w:type="dxa"/>
          </w:tblCellMar>
        </w:tblPrEx>
        <w:trPr>
          <w:trHeight w:val="1830" w:hRule="atLeast"/>
        </w:trPr>
        <w:tc>
          <w:tcPr>
            <w:tcW w:w="2000" w:type="dxa"/>
            <w:tcBorders>
              <w:top w:val="nil"/>
              <w:left w:val="single" w:color="auto" w:sz="4" w:space="0"/>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馆际间业务、经验交流</w:t>
            </w:r>
          </w:p>
        </w:tc>
        <w:tc>
          <w:tcPr>
            <w:tcW w:w="891"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　</w:t>
            </w:r>
          </w:p>
        </w:tc>
        <w:tc>
          <w:tcPr>
            <w:tcW w:w="1802"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在全国范围内进行各博物馆、纪念馆间的业务交流、沟通和学习，扩大视野，学习先进经验，促进行业发展</w:t>
            </w:r>
          </w:p>
        </w:tc>
        <w:tc>
          <w:tcPr>
            <w:tcW w:w="2693"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通过馆际交流，向兄弟馆和同行学习先进的工作经验，扩大视野，互相沟通、学习，进一步提升西柏坡纪念馆的影响力、竞争力和知名度</w:t>
            </w:r>
          </w:p>
        </w:tc>
        <w:tc>
          <w:tcPr>
            <w:tcW w:w="1248"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馆际交流和活动次数达到的预期效果</w:t>
            </w:r>
          </w:p>
        </w:tc>
        <w:tc>
          <w:tcPr>
            <w:tcW w:w="616"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≥90%</w:t>
            </w:r>
          </w:p>
        </w:tc>
        <w:tc>
          <w:tcPr>
            <w:tcW w:w="779"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≥80%</w:t>
            </w:r>
          </w:p>
        </w:tc>
        <w:tc>
          <w:tcPr>
            <w:tcW w:w="1077"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≥70%</w:t>
            </w:r>
          </w:p>
        </w:tc>
        <w:tc>
          <w:tcPr>
            <w:tcW w:w="2234"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＜70%</w:t>
            </w:r>
          </w:p>
        </w:tc>
      </w:tr>
      <w:tr>
        <w:tblPrEx>
          <w:tblLayout w:type="fixed"/>
          <w:tblCellMar>
            <w:top w:w="0" w:type="dxa"/>
            <w:left w:w="108" w:type="dxa"/>
            <w:bottom w:w="0" w:type="dxa"/>
            <w:right w:w="108" w:type="dxa"/>
          </w:tblCellMar>
        </w:tblPrEx>
        <w:trPr>
          <w:trHeight w:val="1815" w:hRule="atLeast"/>
        </w:trPr>
        <w:tc>
          <w:tcPr>
            <w:tcW w:w="2000" w:type="dxa"/>
            <w:tcBorders>
              <w:top w:val="nil"/>
              <w:left w:val="single" w:color="auto" w:sz="4" w:space="0"/>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文物保护维修、维护</w:t>
            </w:r>
          </w:p>
        </w:tc>
        <w:tc>
          <w:tcPr>
            <w:tcW w:w="891"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60</w:t>
            </w:r>
          </w:p>
        </w:tc>
        <w:tc>
          <w:tcPr>
            <w:tcW w:w="1802"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文物资料复制整理以及文物本体保护、维修、维护等工作，保护革命文物，宣传和弘扬西柏坡精神</w:t>
            </w:r>
          </w:p>
        </w:tc>
        <w:tc>
          <w:tcPr>
            <w:tcW w:w="2693"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文物本体及周边环境的维修和保护工作，制定维修方案，实施维修措施，保障爱国主义教育基地的宣传和弘扬工作</w:t>
            </w:r>
          </w:p>
        </w:tc>
        <w:tc>
          <w:tcPr>
            <w:tcW w:w="1248"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文物资料复制整理以及文物本体保护、维修、维护对宣传和教育基地作用的保障比。</w:t>
            </w:r>
          </w:p>
        </w:tc>
        <w:tc>
          <w:tcPr>
            <w:tcW w:w="616"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≥95%</w:t>
            </w:r>
          </w:p>
        </w:tc>
        <w:tc>
          <w:tcPr>
            <w:tcW w:w="779"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≥89%</w:t>
            </w:r>
          </w:p>
        </w:tc>
        <w:tc>
          <w:tcPr>
            <w:tcW w:w="1077"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≥70%</w:t>
            </w:r>
          </w:p>
        </w:tc>
        <w:tc>
          <w:tcPr>
            <w:tcW w:w="2234"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＜70%</w:t>
            </w:r>
          </w:p>
        </w:tc>
      </w:tr>
      <w:tr>
        <w:tblPrEx>
          <w:tblLayout w:type="fixed"/>
          <w:tblCellMar>
            <w:top w:w="0" w:type="dxa"/>
            <w:left w:w="108" w:type="dxa"/>
            <w:bottom w:w="0" w:type="dxa"/>
            <w:right w:w="108" w:type="dxa"/>
          </w:tblCellMar>
        </w:tblPrEx>
        <w:trPr>
          <w:trHeight w:val="1695" w:hRule="atLeast"/>
        </w:trPr>
        <w:tc>
          <w:tcPr>
            <w:tcW w:w="2000" w:type="dxa"/>
            <w:tcBorders>
              <w:top w:val="nil"/>
              <w:left w:val="single" w:color="auto" w:sz="4" w:space="0"/>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开展相关展览和临展活动</w:t>
            </w:r>
          </w:p>
        </w:tc>
        <w:tc>
          <w:tcPr>
            <w:tcW w:w="891"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20</w:t>
            </w:r>
          </w:p>
        </w:tc>
        <w:tc>
          <w:tcPr>
            <w:tcW w:w="1802"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利用文物、文献和图版修改陈列展览，举办不同专题临展，史物结合，创新展览形式</w:t>
            </w:r>
          </w:p>
        </w:tc>
        <w:tc>
          <w:tcPr>
            <w:tcW w:w="2693"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举办不同主题的临时展览和辅助展览，史物结合，表达生动，发挥陈列展览的宣传教育作用</w:t>
            </w:r>
          </w:p>
        </w:tc>
        <w:tc>
          <w:tcPr>
            <w:tcW w:w="1248"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举办展览的次数</w:t>
            </w:r>
          </w:p>
        </w:tc>
        <w:tc>
          <w:tcPr>
            <w:tcW w:w="616"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≥6次</w:t>
            </w:r>
          </w:p>
        </w:tc>
        <w:tc>
          <w:tcPr>
            <w:tcW w:w="779"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≥4次</w:t>
            </w:r>
          </w:p>
        </w:tc>
        <w:tc>
          <w:tcPr>
            <w:tcW w:w="1077"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≥3次</w:t>
            </w:r>
          </w:p>
        </w:tc>
        <w:tc>
          <w:tcPr>
            <w:tcW w:w="2234"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＜3次</w:t>
            </w:r>
          </w:p>
        </w:tc>
      </w:tr>
      <w:tr>
        <w:tblPrEx>
          <w:tblLayout w:type="fixed"/>
          <w:tblCellMar>
            <w:top w:w="0" w:type="dxa"/>
            <w:left w:w="108" w:type="dxa"/>
            <w:bottom w:w="0" w:type="dxa"/>
            <w:right w:w="108" w:type="dxa"/>
          </w:tblCellMar>
        </w:tblPrEx>
        <w:trPr>
          <w:trHeight w:val="1380" w:hRule="atLeast"/>
        </w:trPr>
        <w:tc>
          <w:tcPr>
            <w:tcW w:w="2000" w:type="dxa"/>
            <w:tcBorders>
              <w:top w:val="nil"/>
              <w:left w:val="single" w:color="auto" w:sz="4" w:space="0"/>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综合业务管理</w:t>
            </w:r>
          </w:p>
        </w:tc>
        <w:tc>
          <w:tcPr>
            <w:tcW w:w="891"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1143.2</w:t>
            </w:r>
          </w:p>
        </w:tc>
        <w:tc>
          <w:tcPr>
            <w:tcW w:w="1802"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改善、管理和发展硬件、软件建设，后勤保障及其他各项基础性保障工作</w:t>
            </w:r>
          </w:p>
        </w:tc>
        <w:tc>
          <w:tcPr>
            <w:tcW w:w="2693"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确保各项业务工作谋划到位，顺利进行开展，保障机关工作正常高效运转</w:t>
            </w:r>
          </w:p>
        </w:tc>
        <w:tc>
          <w:tcPr>
            <w:tcW w:w="1248" w:type="dxa"/>
            <w:tcBorders>
              <w:top w:val="nil"/>
              <w:left w:val="nil"/>
              <w:bottom w:val="single" w:color="auto" w:sz="4" w:space="0"/>
              <w:right w:val="single" w:color="auto" w:sz="4" w:space="0"/>
            </w:tcBorders>
            <w:shd w:val="clear" w:color="auto" w:fill="auto"/>
            <w:vAlign w:val="center"/>
          </w:tcPr>
          <w:p>
            <w:pPr>
              <w:rPr>
                <w:rFonts w:ascii="宋体" w:hAnsi="宋体" w:cs="宋体"/>
                <w:sz w:val="18"/>
                <w:szCs w:val="18"/>
              </w:rPr>
            </w:pPr>
            <w:r>
              <w:rPr>
                <w:rFonts w:hint="eastAsia" w:ascii="宋体" w:hAnsi="宋体" w:cs="宋体"/>
                <w:sz w:val="18"/>
                <w:szCs w:val="18"/>
              </w:rPr>
              <w:t>　</w:t>
            </w:r>
          </w:p>
        </w:tc>
        <w:tc>
          <w:tcPr>
            <w:tcW w:w="616" w:type="dxa"/>
            <w:tcBorders>
              <w:top w:val="nil"/>
              <w:left w:val="nil"/>
              <w:bottom w:val="single" w:color="auto" w:sz="4" w:space="0"/>
              <w:right w:val="single" w:color="auto" w:sz="4" w:space="0"/>
            </w:tcBorders>
            <w:shd w:val="clear" w:color="auto" w:fill="auto"/>
            <w:vAlign w:val="center"/>
          </w:tcPr>
          <w:p>
            <w:pPr>
              <w:rPr>
                <w:rFonts w:ascii="宋体" w:hAnsi="宋体" w:cs="宋体"/>
                <w:sz w:val="24"/>
                <w:szCs w:val="24"/>
              </w:rPr>
            </w:pPr>
            <w:r>
              <w:rPr>
                <w:rFonts w:hint="eastAsia" w:ascii="宋体" w:hAnsi="宋体" w:cs="宋体"/>
                <w:sz w:val="24"/>
                <w:szCs w:val="24"/>
              </w:rPr>
              <w:t>　</w:t>
            </w:r>
          </w:p>
        </w:tc>
        <w:tc>
          <w:tcPr>
            <w:tcW w:w="779" w:type="dxa"/>
            <w:tcBorders>
              <w:top w:val="nil"/>
              <w:left w:val="nil"/>
              <w:bottom w:val="single" w:color="auto" w:sz="4" w:space="0"/>
              <w:right w:val="single" w:color="auto" w:sz="4" w:space="0"/>
            </w:tcBorders>
            <w:shd w:val="clear" w:color="auto" w:fill="auto"/>
            <w:vAlign w:val="center"/>
          </w:tcPr>
          <w:p>
            <w:pPr>
              <w:rPr>
                <w:rFonts w:ascii="宋体" w:hAnsi="宋体" w:cs="宋体"/>
                <w:sz w:val="24"/>
                <w:szCs w:val="24"/>
              </w:rPr>
            </w:pPr>
            <w:r>
              <w:rPr>
                <w:rFonts w:hint="eastAsia" w:ascii="宋体" w:hAnsi="宋体" w:cs="宋体"/>
                <w:sz w:val="24"/>
                <w:szCs w:val="24"/>
              </w:rPr>
              <w:t>　</w:t>
            </w:r>
          </w:p>
        </w:tc>
        <w:tc>
          <w:tcPr>
            <w:tcW w:w="1077" w:type="dxa"/>
            <w:tcBorders>
              <w:top w:val="nil"/>
              <w:left w:val="nil"/>
              <w:bottom w:val="single" w:color="auto" w:sz="4" w:space="0"/>
              <w:right w:val="single" w:color="auto" w:sz="4" w:space="0"/>
            </w:tcBorders>
            <w:shd w:val="clear" w:color="auto" w:fill="auto"/>
            <w:vAlign w:val="center"/>
          </w:tcPr>
          <w:p>
            <w:pPr>
              <w:rPr>
                <w:rFonts w:ascii="宋体" w:hAnsi="宋体" w:cs="宋体"/>
                <w:sz w:val="24"/>
                <w:szCs w:val="24"/>
              </w:rPr>
            </w:pPr>
            <w:r>
              <w:rPr>
                <w:rFonts w:hint="eastAsia" w:ascii="宋体" w:hAnsi="宋体" w:cs="宋体"/>
                <w:sz w:val="24"/>
                <w:szCs w:val="24"/>
              </w:rPr>
              <w:t>　</w:t>
            </w:r>
          </w:p>
        </w:tc>
        <w:tc>
          <w:tcPr>
            <w:tcW w:w="2234" w:type="dxa"/>
            <w:tcBorders>
              <w:top w:val="nil"/>
              <w:left w:val="nil"/>
              <w:bottom w:val="single" w:color="auto" w:sz="4" w:space="0"/>
              <w:right w:val="single" w:color="auto" w:sz="4" w:space="0"/>
            </w:tcBorders>
            <w:shd w:val="clear" w:color="auto" w:fill="auto"/>
            <w:vAlign w:val="center"/>
          </w:tcPr>
          <w:p>
            <w:pPr>
              <w:rPr>
                <w:rFonts w:ascii="宋体" w:hAnsi="宋体" w:cs="宋体"/>
                <w:sz w:val="24"/>
                <w:szCs w:val="24"/>
              </w:rPr>
            </w:pPr>
            <w:r>
              <w:rPr>
                <w:rFonts w:hint="eastAsia" w:ascii="宋体" w:hAnsi="宋体" w:cs="宋体"/>
                <w:sz w:val="24"/>
                <w:szCs w:val="24"/>
              </w:rPr>
              <w:t>　</w:t>
            </w:r>
          </w:p>
        </w:tc>
      </w:tr>
      <w:tr>
        <w:tblPrEx>
          <w:tblLayout w:type="fixed"/>
          <w:tblCellMar>
            <w:top w:w="0" w:type="dxa"/>
            <w:left w:w="108" w:type="dxa"/>
            <w:bottom w:w="0" w:type="dxa"/>
            <w:right w:w="108" w:type="dxa"/>
          </w:tblCellMar>
        </w:tblPrEx>
        <w:trPr>
          <w:trHeight w:val="1362" w:hRule="atLeast"/>
        </w:trPr>
        <w:tc>
          <w:tcPr>
            <w:tcW w:w="2000" w:type="dxa"/>
            <w:tcBorders>
              <w:top w:val="nil"/>
              <w:left w:val="single" w:color="auto" w:sz="4" w:space="0"/>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参观和生活场所的日常维修、维护及后勤保障</w:t>
            </w:r>
          </w:p>
        </w:tc>
        <w:tc>
          <w:tcPr>
            <w:tcW w:w="891"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327.3</w:t>
            </w:r>
          </w:p>
        </w:tc>
        <w:tc>
          <w:tcPr>
            <w:tcW w:w="1802"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参观和生活场所的日常维修、维护及后勤保障</w:t>
            </w:r>
          </w:p>
        </w:tc>
        <w:tc>
          <w:tcPr>
            <w:tcW w:w="2693"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确保参观场馆运行良好，后勤保障到位，为观众提供安全、舒适的参观环境</w:t>
            </w:r>
          </w:p>
        </w:tc>
        <w:tc>
          <w:tcPr>
            <w:tcW w:w="1248" w:type="dxa"/>
            <w:tcBorders>
              <w:top w:val="nil"/>
              <w:left w:val="nil"/>
              <w:bottom w:val="single" w:color="auto" w:sz="4" w:space="0"/>
              <w:right w:val="single" w:color="auto" w:sz="4" w:space="0"/>
            </w:tcBorders>
            <w:shd w:val="clear" w:color="auto" w:fill="auto"/>
            <w:vAlign w:val="center"/>
          </w:tcPr>
          <w:p>
            <w:pPr>
              <w:rPr>
                <w:rFonts w:ascii="宋体" w:hAnsi="宋体" w:cs="宋体"/>
                <w:sz w:val="18"/>
                <w:szCs w:val="18"/>
              </w:rPr>
            </w:pPr>
            <w:r>
              <w:rPr>
                <w:rFonts w:hint="eastAsia" w:ascii="宋体" w:hAnsi="宋体" w:cs="宋体"/>
                <w:sz w:val="18"/>
                <w:szCs w:val="18"/>
              </w:rPr>
              <w:t>改善、管理和发展硬件、软件建设，后勤保障及其他各项基础性保障工作，实现景区全覆盖</w:t>
            </w:r>
          </w:p>
        </w:tc>
        <w:tc>
          <w:tcPr>
            <w:tcW w:w="616"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≥100%</w:t>
            </w:r>
          </w:p>
        </w:tc>
        <w:tc>
          <w:tcPr>
            <w:tcW w:w="779"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≥95%</w:t>
            </w:r>
          </w:p>
        </w:tc>
        <w:tc>
          <w:tcPr>
            <w:tcW w:w="1077"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≥85%</w:t>
            </w:r>
          </w:p>
        </w:tc>
        <w:tc>
          <w:tcPr>
            <w:tcW w:w="2234"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＜80%</w:t>
            </w:r>
          </w:p>
        </w:tc>
      </w:tr>
      <w:tr>
        <w:tblPrEx>
          <w:tblLayout w:type="fixed"/>
          <w:tblCellMar>
            <w:top w:w="0" w:type="dxa"/>
            <w:left w:w="108" w:type="dxa"/>
            <w:bottom w:w="0" w:type="dxa"/>
            <w:right w:w="108" w:type="dxa"/>
          </w:tblCellMar>
        </w:tblPrEx>
        <w:trPr>
          <w:trHeight w:val="1590" w:hRule="atLeast"/>
        </w:trPr>
        <w:tc>
          <w:tcPr>
            <w:tcW w:w="2000" w:type="dxa"/>
            <w:tcBorders>
              <w:top w:val="nil"/>
              <w:left w:val="single" w:color="auto" w:sz="4" w:space="0"/>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景区内绿化、安防、消防等工作</w:t>
            </w:r>
          </w:p>
        </w:tc>
        <w:tc>
          <w:tcPr>
            <w:tcW w:w="891"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117.9</w:t>
            </w:r>
          </w:p>
        </w:tc>
        <w:tc>
          <w:tcPr>
            <w:tcW w:w="1802"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做好景区绿化、环境保护、安防、消防等工作</w:t>
            </w:r>
          </w:p>
        </w:tc>
        <w:tc>
          <w:tcPr>
            <w:tcW w:w="2693"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通过景区绿化、环境保护，做到景区四季有绿，干净整洁；配备安防、消防设备、人员，为观众提供游览的安全保障</w:t>
            </w:r>
          </w:p>
        </w:tc>
        <w:tc>
          <w:tcPr>
            <w:tcW w:w="1248" w:type="dxa"/>
            <w:tcBorders>
              <w:top w:val="nil"/>
              <w:left w:val="nil"/>
              <w:bottom w:val="single" w:color="auto" w:sz="4" w:space="0"/>
              <w:right w:val="single" w:color="auto" w:sz="4" w:space="0"/>
            </w:tcBorders>
            <w:shd w:val="clear" w:color="auto" w:fill="auto"/>
            <w:vAlign w:val="center"/>
          </w:tcPr>
          <w:p>
            <w:pPr>
              <w:rPr>
                <w:rFonts w:ascii="宋体" w:hAnsi="宋体" w:cs="宋体"/>
                <w:sz w:val="18"/>
                <w:szCs w:val="18"/>
              </w:rPr>
            </w:pPr>
            <w:r>
              <w:rPr>
                <w:rFonts w:hint="eastAsia" w:ascii="宋体" w:hAnsi="宋体" w:cs="宋体"/>
                <w:sz w:val="18"/>
                <w:szCs w:val="18"/>
              </w:rPr>
              <w:t>改善、管理和发展硬件、软件建设，后勤保障及其他各项基础性保障工作，实现景区全覆盖</w:t>
            </w:r>
          </w:p>
        </w:tc>
        <w:tc>
          <w:tcPr>
            <w:tcW w:w="616"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≥100%</w:t>
            </w:r>
          </w:p>
        </w:tc>
        <w:tc>
          <w:tcPr>
            <w:tcW w:w="779"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≥95%</w:t>
            </w:r>
          </w:p>
        </w:tc>
        <w:tc>
          <w:tcPr>
            <w:tcW w:w="1077"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≥85%</w:t>
            </w:r>
          </w:p>
        </w:tc>
        <w:tc>
          <w:tcPr>
            <w:tcW w:w="2234"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＜80%</w:t>
            </w:r>
          </w:p>
        </w:tc>
      </w:tr>
      <w:tr>
        <w:tblPrEx>
          <w:tblLayout w:type="fixed"/>
          <w:tblCellMar>
            <w:top w:w="0" w:type="dxa"/>
            <w:left w:w="108" w:type="dxa"/>
            <w:bottom w:w="0" w:type="dxa"/>
            <w:right w:w="108" w:type="dxa"/>
          </w:tblCellMar>
        </w:tblPrEx>
        <w:trPr>
          <w:trHeight w:val="1350" w:hRule="atLeast"/>
        </w:trPr>
        <w:tc>
          <w:tcPr>
            <w:tcW w:w="2000" w:type="dxa"/>
            <w:tcBorders>
              <w:top w:val="nil"/>
              <w:left w:val="single" w:color="auto" w:sz="4" w:space="0"/>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基础设施建设和环境提升</w:t>
            </w:r>
          </w:p>
        </w:tc>
        <w:tc>
          <w:tcPr>
            <w:tcW w:w="891"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698</w:t>
            </w:r>
          </w:p>
        </w:tc>
        <w:tc>
          <w:tcPr>
            <w:tcW w:w="1802"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对软硬件环境和基地建设的提升，提升景区综合实力，拓展教育内容</w:t>
            </w:r>
          </w:p>
        </w:tc>
        <w:tc>
          <w:tcPr>
            <w:tcW w:w="2693"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通过对软硬件环境和基地建设的提升，提升景区综合实力，符合国家AAAAA级旅游风景区标准</w:t>
            </w:r>
          </w:p>
        </w:tc>
        <w:tc>
          <w:tcPr>
            <w:tcW w:w="1248" w:type="dxa"/>
            <w:tcBorders>
              <w:top w:val="nil"/>
              <w:left w:val="nil"/>
              <w:bottom w:val="single" w:color="auto" w:sz="4" w:space="0"/>
              <w:right w:val="single" w:color="auto" w:sz="4" w:space="0"/>
            </w:tcBorders>
            <w:shd w:val="clear" w:color="auto" w:fill="auto"/>
            <w:vAlign w:val="center"/>
          </w:tcPr>
          <w:p>
            <w:pPr>
              <w:rPr>
                <w:rFonts w:ascii="宋体" w:hAnsi="宋体" w:cs="宋体"/>
                <w:color w:val="000000"/>
              </w:rPr>
            </w:pPr>
            <w:r>
              <w:rPr>
                <w:rFonts w:hint="eastAsia" w:ascii="宋体" w:hAnsi="宋体" w:cs="宋体"/>
                <w:color w:val="000000"/>
              </w:rPr>
              <w:t>基础设施建设和环境提升覆盖率</w:t>
            </w:r>
          </w:p>
        </w:tc>
        <w:tc>
          <w:tcPr>
            <w:tcW w:w="616"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≥100%</w:t>
            </w:r>
          </w:p>
        </w:tc>
        <w:tc>
          <w:tcPr>
            <w:tcW w:w="779"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≥90%</w:t>
            </w:r>
          </w:p>
        </w:tc>
        <w:tc>
          <w:tcPr>
            <w:tcW w:w="1077"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≥85%</w:t>
            </w:r>
          </w:p>
        </w:tc>
        <w:tc>
          <w:tcPr>
            <w:tcW w:w="2234"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＜85%</w:t>
            </w:r>
          </w:p>
        </w:tc>
      </w:tr>
      <w:tr>
        <w:tblPrEx>
          <w:tblLayout w:type="fixed"/>
          <w:tblCellMar>
            <w:top w:w="0" w:type="dxa"/>
            <w:left w:w="108" w:type="dxa"/>
            <w:bottom w:w="0" w:type="dxa"/>
            <w:right w:w="108" w:type="dxa"/>
          </w:tblCellMar>
        </w:tblPrEx>
        <w:trPr>
          <w:trHeight w:val="780" w:hRule="atLeast"/>
        </w:trPr>
        <w:tc>
          <w:tcPr>
            <w:tcW w:w="2000" w:type="dxa"/>
            <w:tcBorders>
              <w:top w:val="nil"/>
              <w:left w:val="single" w:color="auto" w:sz="4" w:space="0"/>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接待服务工作</w:t>
            </w:r>
          </w:p>
        </w:tc>
        <w:tc>
          <w:tcPr>
            <w:tcW w:w="891"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　</w:t>
            </w:r>
          </w:p>
        </w:tc>
        <w:tc>
          <w:tcPr>
            <w:tcW w:w="1802"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 xml:space="preserve">博物馆事业食宿配套措施。 </w:t>
            </w:r>
          </w:p>
        </w:tc>
        <w:tc>
          <w:tcPr>
            <w:tcW w:w="2693"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博物馆行业食宿配套措施，解决了观众食宿问题。</w:t>
            </w:r>
          </w:p>
        </w:tc>
        <w:tc>
          <w:tcPr>
            <w:tcW w:w="1248" w:type="dxa"/>
            <w:tcBorders>
              <w:top w:val="nil"/>
              <w:left w:val="nil"/>
              <w:bottom w:val="single" w:color="auto" w:sz="4" w:space="0"/>
              <w:right w:val="single" w:color="auto" w:sz="4" w:space="0"/>
            </w:tcBorders>
            <w:shd w:val="clear" w:color="auto" w:fill="auto"/>
            <w:vAlign w:val="center"/>
          </w:tcPr>
          <w:p>
            <w:pPr>
              <w:rPr>
                <w:rFonts w:ascii="宋体" w:hAnsi="宋体" w:cs="宋体"/>
                <w:color w:val="000000"/>
                <w:sz w:val="18"/>
                <w:szCs w:val="18"/>
              </w:rPr>
            </w:pPr>
            <w:r>
              <w:rPr>
                <w:rFonts w:hint="eastAsia" w:ascii="宋体" w:hAnsi="宋体" w:cs="宋体"/>
                <w:color w:val="000000"/>
                <w:sz w:val="18"/>
                <w:szCs w:val="18"/>
              </w:rPr>
              <w:t>　</w:t>
            </w:r>
          </w:p>
        </w:tc>
        <w:tc>
          <w:tcPr>
            <w:tcW w:w="616"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　</w:t>
            </w:r>
          </w:p>
        </w:tc>
        <w:tc>
          <w:tcPr>
            <w:tcW w:w="779"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　</w:t>
            </w:r>
          </w:p>
        </w:tc>
        <w:tc>
          <w:tcPr>
            <w:tcW w:w="1077"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　</w:t>
            </w:r>
          </w:p>
        </w:tc>
        <w:tc>
          <w:tcPr>
            <w:tcW w:w="2234"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　</w:t>
            </w:r>
          </w:p>
        </w:tc>
      </w:tr>
      <w:tr>
        <w:tblPrEx>
          <w:tblLayout w:type="fixed"/>
          <w:tblCellMar>
            <w:top w:w="0" w:type="dxa"/>
            <w:left w:w="108" w:type="dxa"/>
            <w:bottom w:w="0" w:type="dxa"/>
            <w:right w:w="108" w:type="dxa"/>
          </w:tblCellMar>
        </w:tblPrEx>
        <w:trPr>
          <w:trHeight w:val="885" w:hRule="atLeast"/>
        </w:trPr>
        <w:tc>
          <w:tcPr>
            <w:tcW w:w="2000" w:type="dxa"/>
            <w:tcBorders>
              <w:top w:val="nil"/>
              <w:left w:val="single" w:color="auto" w:sz="4" w:space="0"/>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餐饮住宿接待</w:t>
            </w:r>
          </w:p>
        </w:tc>
        <w:tc>
          <w:tcPr>
            <w:tcW w:w="891"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　</w:t>
            </w:r>
          </w:p>
        </w:tc>
        <w:tc>
          <w:tcPr>
            <w:tcW w:w="1802"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给有需求观众提供餐饮住宿接待</w:t>
            </w:r>
          </w:p>
        </w:tc>
        <w:tc>
          <w:tcPr>
            <w:tcW w:w="2693"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通过优质餐饮、住宿，为观众提供良好的食宿环境</w:t>
            </w:r>
          </w:p>
        </w:tc>
        <w:tc>
          <w:tcPr>
            <w:tcW w:w="1248" w:type="dxa"/>
            <w:tcBorders>
              <w:top w:val="nil"/>
              <w:left w:val="nil"/>
              <w:bottom w:val="single" w:color="auto" w:sz="4" w:space="0"/>
              <w:right w:val="single" w:color="auto" w:sz="4" w:space="0"/>
            </w:tcBorders>
            <w:shd w:val="clear" w:color="auto" w:fill="auto"/>
            <w:vAlign w:val="center"/>
          </w:tcPr>
          <w:p>
            <w:pPr>
              <w:rPr>
                <w:rFonts w:ascii="宋体" w:hAnsi="宋体" w:cs="宋体"/>
                <w:color w:val="000000"/>
                <w:sz w:val="18"/>
                <w:szCs w:val="18"/>
              </w:rPr>
            </w:pPr>
            <w:r>
              <w:rPr>
                <w:rFonts w:hint="eastAsia" w:ascii="宋体" w:hAnsi="宋体" w:cs="宋体"/>
                <w:color w:val="000000"/>
                <w:sz w:val="18"/>
                <w:szCs w:val="18"/>
              </w:rPr>
              <w:t>接待管理工作完成率</w:t>
            </w:r>
          </w:p>
        </w:tc>
        <w:tc>
          <w:tcPr>
            <w:tcW w:w="616" w:type="dxa"/>
            <w:tcBorders>
              <w:top w:val="nil"/>
              <w:left w:val="nil"/>
              <w:bottom w:val="single" w:color="auto" w:sz="4" w:space="0"/>
              <w:right w:val="single" w:color="auto" w:sz="4" w:space="0"/>
            </w:tcBorders>
            <w:shd w:val="clear" w:color="auto" w:fill="auto"/>
            <w:vAlign w:val="center"/>
          </w:tcPr>
          <w:p>
            <w:pPr>
              <w:jc w:val="right"/>
              <w:rPr>
                <w:rFonts w:ascii="宋体" w:hAnsi="宋体" w:cs="宋体"/>
              </w:rPr>
            </w:pPr>
            <w:r>
              <w:rPr>
                <w:rFonts w:hint="eastAsia" w:ascii="宋体" w:hAnsi="宋体" w:cs="宋体"/>
              </w:rPr>
              <w:t>100%</w:t>
            </w:r>
          </w:p>
        </w:tc>
        <w:tc>
          <w:tcPr>
            <w:tcW w:w="779"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≥95%</w:t>
            </w:r>
          </w:p>
        </w:tc>
        <w:tc>
          <w:tcPr>
            <w:tcW w:w="1077"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≥90%</w:t>
            </w:r>
          </w:p>
        </w:tc>
        <w:tc>
          <w:tcPr>
            <w:tcW w:w="2234" w:type="dxa"/>
            <w:tcBorders>
              <w:top w:val="nil"/>
              <w:left w:val="nil"/>
              <w:bottom w:val="single" w:color="auto" w:sz="4" w:space="0"/>
              <w:right w:val="single" w:color="auto" w:sz="4" w:space="0"/>
            </w:tcBorders>
            <w:shd w:val="clear" w:color="auto" w:fill="auto"/>
            <w:vAlign w:val="center"/>
          </w:tcPr>
          <w:p>
            <w:pPr>
              <w:rPr>
                <w:rFonts w:ascii="宋体" w:hAnsi="宋体" w:cs="宋体"/>
              </w:rPr>
            </w:pPr>
            <w:r>
              <w:rPr>
                <w:rFonts w:hint="eastAsia" w:ascii="宋体" w:hAnsi="宋体" w:cs="宋体"/>
              </w:rPr>
              <w:t>＜90%</w:t>
            </w:r>
          </w:p>
        </w:tc>
      </w:tr>
    </w:tbl>
    <w:p>
      <w:pPr>
        <w:spacing w:line="20" w:lineRule="exact"/>
        <w:rPr>
          <w:rFonts w:ascii="Times New Roman" w:hAnsi="Times New Roman"/>
          <w:sz w:val="23"/>
        </w:rPr>
        <w:sectPr>
          <w:pgSz w:w="16840" w:h="11906" w:orient="landscape"/>
          <w:pgMar w:top="1043" w:right="1438" w:bottom="639" w:left="1440" w:header="0" w:footer="0" w:gutter="0"/>
          <w:cols w:equalWidth="0" w:num="1">
            <w:col w:w="13960"/>
          </w:cols>
          <w:docGrid w:linePitch="360" w:charSpace="0"/>
        </w:sectPr>
      </w:pPr>
      <w:bookmarkStart w:id="4" w:name="page14"/>
      <w:bookmarkEnd w:id="4"/>
      <w:bookmarkStart w:id="5" w:name="page13"/>
      <w:bookmarkEnd w:id="5"/>
      <w:bookmarkStart w:id="6" w:name="page12"/>
      <w:bookmarkEnd w:id="6"/>
      <w:r>
        <w:rPr>
          <w:rFonts w:ascii="Times New Roman" w:hAnsi="Times New Roman" w:eastAsia="Times New Roman"/>
          <w:sz w:val="24"/>
        </w:rPr>
        <w:pict>
          <v:rect id="_x0000_s1026" o:spid="_x0000_s1026" o:spt="1" style="position:absolute;left:0pt;margin-left:0.05pt;margin-top:-92.65pt;height:1pt;width:1.05pt;z-index:-251656192;mso-width-relative:page;mso-height-relative:page;" fillcolor="#000000" filled="t" stroked="t" coordsize="21600,21600" o:allowincell="f">
            <v:path/>
            <v:fill on="t" focussize="0,0"/>
            <v:stroke color="#FFFFFF"/>
            <v:imagedata o:title=""/>
            <o:lock v:ext="edit"/>
          </v:rect>
        </w:pict>
      </w:r>
      <w:r>
        <w:rPr>
          <w:rFonts w:ascii="Times New Roman" w:hAnsi="Times New Roman" w:eastAsia="Times New Roman"/>
          <w:sz w:val="24"/>
        </w:rPr>
        <w:pict>
          <v:rect id="_x0000_s1027" o:spid="_x0000_s1027" o:spt="1" style="position:absolute;left:0pt;margin-left:117.1pt;margin-top:-92.65pt;height:1pt;width:1pt;z-index:-251655168;mso-width-relative:page;mso-height-relative:page;" fillcolor="#000000" filled="t" stroked="t" coordsize="21600,21600" o:allowincell="f">
            <v:path/>
            <v:fill on="t" focussize="0,0"/>
            <v:stroke color="#FFFFFF"/>
            <v:imagedata o:title=""/>
            <o:lock v:ext="edit"/>
          </v:rect>
        </w:pict>
      </w:r>
      <w:r>
        <w:rPr>
          <w:rFonts w:ascii="Times New Roman" w:hAnsi="Times New Roman" w:eastAsia="Times New Roman"/>
          <w:sz w:val="24"/>
        </w:rPr>
        <w:pict>
          <v:rect id="_x0000_s1028" o:spid="_x0000_s1028" o:spt="1" style="position:absolute;left:0pt;margin-left:180.95pt;margin-top:-92.65pt;height:1pt;width:1pt;z-index:-251654144;mso-width-relative:page;mso-height-relative:page;" fillcolor="#000000" filled="t" stroked="t" coordsize="21600,21600" o:allowincell="f">
            <v:path/>
            <v:fill on="t" focussize="0,0"/>
            <v:stroke color="#FFFFFF"/>
            <v:imagedata o:title=""/>
            <o:lock v:ext="edit"/>
          </v:rect>
        </w:pict>
      </w:r>
      <w:r>
        <w:rPr>
          <w:rFonts w:ascii="Times New Roman" w:hAnsi="Times New Roman" w:eastAsia="Times New Roman"/>
          <w:sz w:val="24"/>
        </w:rPr>
        <w:pict>
          <v:rect id="_x0000_s1029" o:spid="_x0000_s1029" o:spt="1" style="position:absolute;left:0pt;margin-left:329.75pt;margin-top:-92.65pt;height:1pt;width:1pt;z-index:-251653120;mso-width-relative:page;mso-height-relative:page;" fillcolor="#000000" filled="t" stroked="t" coordsize="21600,21600" o:allowincell="f">
            <v:path/>
            <v:fill on="t" focussize="0,0"/>
            <v:stroke color="#FFFFFF"/>
            <v:imagedata o:title=""/>
            <o:lock v:ext="edit"/>
          </v:rect>
        </w:pict>
      </w:r>
      <w:bookmarkStart w:id="7" w:name="page16"/>
      <w:bookmarkEnd w:id="7"/>
      <w:bookmarkStart w:id="8" w:name="page15"/>
      <w:bookmarkEnd w:id="8"/>
    </w:p>
    <w:p>
      <w:pPr>
        <w:spacing w:line="366" w:lineRule="exact"/>
        <w:rPr>
          <w:rFonts w:asciiTheme="majorEastAsia" w:hAnsiTheme="majorEastAsia" w:eastAsiaTheme="majorEastAsia"/>
          <w:sz w:val="32"/>
        </w:rPr>
      </w:pPr>
      <w:r>
        <w:rPr>
          <w:rFonts w:hint="eastAsia" w:asciiTheme="majorEastAsia" w:hAnsiTheme="majorEastAsia" w:eastAsiaTheme="majorEastAsia"/>
          <w:sz w:val="32"/>
          <w:lang w:val="en-US" w:eastAsia="zh-CN"/>
        </w:rPr>
        <w:t>6</w:t>
      </w:r>
      <w:r>
        <w:rPr>
          <w:rFonts w:asciiTheme="majorEastAsia" w:hAnsiTheme="majorEastAsia" w:eastAsiaTheme="majorEastAsia"/>
          <w:sz w:val="32"/>
        </w:rPr>
        <w:t>、政府采购预算情况</w:t>
      </w:r>
    </w:p>
    <w:p>
      <w:pPr>
        <w:spacing w:line="255" w:lineRule="exact"/>
        <w:rPr>
          <w:rFonts w:asciiTheme="majorEastAsia" w:hAnsiTheme="majorEastAsia" w:eastAsiaTheme="majorEastAsia"/>
        </w:rPr>
      </w:pPr>
    </w:p>
    <w:p>
      <w:pPr>
        <w:spacing w:line="390" w:lineRule="exact"/>
        <w:ind w:left="540"/>
        <w:rPr>
          <w:rFonts w:asciiTheme="majorEastAsia" w:hAnsiTheme="majorEastAsia" w:eastAsiaTheme="majorEastAsia"/>
          <w:sz w:val="32"/>
        </w:rPr>
      </w:pPr>
      <w:r>
        <w:rPr>
          <w:rFonts w:asciiTheme="majorEastAsia" w:hAnsiTheme="majorEastAsia" w:eastAsiaTheme="majorEastAsia"/>
          <w:sz w:val="32"/>
        </w:rPr>
        <w:t>2018 年，我</w:t>
      </w:r>
      <w:r>
        <w:rPr>
          <w:rFonts w:hint="eastAsia" w:asciiTheme="majorEastAsia" w:hAnsiTheme="majorEastAsia" w:eastAsiaTheme="majorEastAsia"/>
          <w:sz w:val="32"/>
        </w:rPr>
        <w:t>单位</w:t>
      </w:r>
      <w:r>
        <w:rPr>
          <w:rFonts w:asciiTheme="majorEastAsia" w:hAnsiTheme="majorEastAsia" w:eastAsiaTheme="majorEastAsia"/>
          <w:sz w:val="32"/>
        </w:rPr>
        <w:t>安排政府采购预算</w:t>
      </w:r>
      <w:r>
        <w:rPr>
          <w:rFonts w:hint="eastAsia" w:asciiTheme="majorEastAsia" w:hAnsiTheme="majorEastAsia" w:eastAsiaTheme="majorEastAsia"/>
          <w:sz w:val="32"/>
        </w:rPr>
        <w:t>848.90</w:t>
      </w:r>
      <w:r>
        <w:rPr>
          <w:rFonts w:asciiTheme="majorEastAsia" w:hAnsiTheme="majorEastAsia" w:eastAsiaTheme="majorEastAsia"/>
          <w:sz w:val="32"/>
        </w:rPr>
        <w:t>万元。具体内容见下表。</w:t>
      </w:r>
    </w:p>
    <w:tbl>
      <w:tblPr>
        <w:tblStyle w:val="5"/>
        <w:tblW w:w="14720" w:type="dxa"/>
        <w:jc w:val="center"/>
        <w:tblInd w:w="0" w:type="dxa"/>
        <w:tblLayout w:type="fixed"/>
        <w:tblCellMar>
          <w:top w:w="0" w:type="dxa"/>
          <w:left w:w="0" w:type="dxa"/>
          <w:bottom w:w="0" w:type="dxa"/>
          <w:right w:w="0" w:type="dxa"/>
        </w:tblCellMar>
      </w:tblPr>
      <w:tblGrid>
        <w:gridCol w:w="2127"/>
        <w:gridCol w:w="708"/>
        <w:gridCol w:w="665"/>
        <w:gridCol w:w="449"/>
        <w:gridCol w:w="20"/>
        <w:gridCol w:w="1276"/>
        <w:gridCol w:w="1134"/>
        <w:gridCol w:w="709"/>
        <w:gridCol w:w="567"/>
        <w:gridCol w:w="709"/>
        <w:gridCol w:w="708"/>
        <w:gridCol w:w="850"/>
        <w:gridCol w:w="885"/>
        <w:gridCol w:w="855"/>
        <w:gridCol w:w="825"/>
        <w:gridCol w:w="1800"/>
        <w:gridCol w:w="433"/>
      </w:tblGrid>
      <w:tr>
        <w:tblPrEx>
          <w:tblLayout w:type="fixed"/>
          <w:tblCellMar>
            <w:top w:w="0" w:type="dxa"/>
            <w:left w:w="0" w:type="dxa"/>
            <w:bottom w:w="0" w:type="dxa"/>
            <w:right w:w="0" w:type="dxa"/>
          </w:tblCellMar>
        </w:tblPrEx>
        <w:trPr>
          <w:trHeight w:val="291" w:hRule="atLeast"/>
          <w:jc w:val="center"/>
        </w:trPr>
        <w:tc>
          <w:tcPr>
            <w:tcW w:w="3500" w:type="dxa"/>
            <w:gridSpan w:val="3"/>
            <w:tcBorders>
              <w:top w:val="nil"/>
              <w:left w:val="nil"/>
              <w:bottom w:val="single" w:color="auto" w:sz="8" w:space="0"/>
              <w:right w:val="nil"/>
            </w:tcBorders>
            <w:vAlign w:val="bottom"/>
          </w:tcPr>
          <w:p>
            <w:pPr>
              <w:spacing w:line="291" w:lineRule="exact"/>
              <w:ind w:left="120"/>
              <w:rPr>
                <w:rFonts w:hint="eastAsia" w:ascii="Arial" w:hAnsi="Arial"/>
                <w:kern w:val="2"/>
                <w:sz w:val="24"/>
              </w:rPr>
            </w:pPr>
          </w:p>
          <w:p>
            <w:pPr>
              <w:spacing w:line="291" w:lineRule="exact"/>
              <w:ind w:left="120"/>
              <w:rPr>
                <w:rFonts w:ascii="宋体" w:hAnsi="宋体"/>
                <w:kern w:val="2"/>
                <w:sz w:val="24"/>
              </w:rPr>
            </w:pPr>
            <w:r>
              <w:rPr>
                <w:rFonts w:ascii="Arial" w:hAnsi="Arial"/>
                <w:kern w:val="2"/>
                <w:sz w:val="24"/>
              </w:rPr>
              <w:t>533</w:t>
            </w:r>
            <w:r>
              <w:rPr>
                <w:rFonts w:hint="eastAsia" w:ascii="Arial" w:hAnsi="Arial"/>
                <w:kern w:val="2"/>
                <w:sz w:val="24"/>
              </w:rPr>
              <w:t>西柏坡纪念馆</w:t>
            </w:r>
          </w:p>
        </w:tc>
        <w:tc>
          <w:tcPr>
            <w:tcW w:w="449" w:type="dxa"/>
            <w:tcBorders>
              <w:top w:val="nil"/>
              <w:left w:val="nil"/>
              <w:bottom w:val="single" w:color="auto" w:sz="8" w:space="0"/>
              <w:right w:val="nil"/>
            </w:tcBorders>
            <w:vAlign w:val="bottom"/>
          </w:tcPr>
          <w:p>
            <w:pPr>
              <w:spacing w:line="0" w:lineRule="atLeast"/>
              <w:rPr>
                <w:rFonts w:ascii="Times New Roman" w:hAnsi="Times New Roman" w:eastAsia="Times New Roman"/>
                <w:kern w:val="2"/>
                <w:sz w:val="24"/>
              </w:rPr>
            </w:pPr>
          </w:p>
        </w:tc>
        <w:tc>
          <w:tcPr>
            <w:tcW w:w="20" w:type="dxa"/>
            <w:tcBorders>
              <w:top w:val="nil"/>
              <w:left w:val="nil"/>
              <w:bottom w:val="single" w:color="auto" w:sz="8" w:space="0"/>
              <w:right w:val="nil"/>
            </w:tcBorders>
            <w:vAlign w:val="bottom"/>
          </w:tcPr>
          <w:p>
            <w:pPr>
              <w:spacing w:line="0" w:lineRule="atLeast"/>
              <w:rPr>
                <w:rFonts w:ascii="Times New Roman" w:hAnsi="Times New Roman" w:eastAsia="Times New Roman"/>
                <w:kern w:val="2"/>
                <w:sz w:val="24"/>
              </w:rPr>
            </w:pPr>
          </w:p>
        </w:tc>
        <w:tc>
          <w:tcPr>
            <w:tcW w:w="1276" w:type="dxa"/>
            <w:tcBorders>
              <w:top w:val="nil"/>
              <w:left w:val="nil"/>
              <w:bottom w:val="single" w:color="auto" w:sz="8" w:space="0"/>
              <w:right w:val="nil"/>
            </w:tcBorders>
            <w:vAlign w:val="bottom"/>
          </w:tcPr>
          <w:p>
            <w:pPr>
              <w:spacing w:line="0" w:lineRule="atLeast"/>
              <w:rPr>
                <w:rFonts w:ascii="Times New Roman" w:hAnsi="Times New Roman" w:eastAsia="Times New Roman"/>
                <w:kern w:val="2"/>
                <w:sz w:val="24"/>
              </w:rPr>
            </w:pPr>
          </w:p>
        </w:tc>
        <w:tc>
          <w:tcPr>
            <w:tcW w:w="1134" w:type="dxa"/>
            <w:tcBorders>
              <w:top w:val="nil"/>
              <w:left w:val="nil"/>
              <w:bottom w:val="single" w:color="auto" w:sz="8" w:space="0"/>
              <w:right w:val="nil"/>
            </w:tcBorders>
            <w:vAlign w:val="bottom"/>
          </w:tcPr>
          <w:p>
            <w:pPr>
              <w:spacing w:line="0" w:lineRule="atLeast"/>
              <w:rPr>
                <w:rFonts w:ascii="Times New Roman" w:hAnsi="Times New Roman" w:eastAsia="Times New Roman"/>
                <w:kern w:val="2"/>
                <w:sz w:val="24"/>
              </w:rPr>
            </w:pPr>
          </w:p>
        </w:tc>
        <w:tc>
          <w:tcPr>
            <w:tcW w:w="709" w:type="dxa"/>
            <w:tcBorders>
              <w:top w:val="nil"/>
              <w:left w:val="nil"/>
              <w:bottom w:val="single" w:color="auto" w:sz="8" w:space="0"/>
              <w:right w:val="nil"/>
            </w:tcBorders>
            <w:vAlign w:val="bottom"/>
          </w:tcPr>
          <w:p>
            <w:pPr>
              <w:spacing w:line="0" w:lineRule="atLeast"/>
              <w:rPr>
                <w:rFonts w:ascii="Times New Roman" w:hAnsi="Times New Roman" w:eastAsia="Times New Roman"/>
                <w:kern w:val="2"/>
                <w:sz w:val="24"/>
              </w:rPr>
            </w:pPr>
          </w:p>
        </w:tc>
        <w:tc>
          <w:tcPr>
            <w:tcW w:w="567" w:type="dxa"/>
            <w:tcBorders>
              <w:top w:val="nil"/>
              <w:left w:val="nil"/>
              <w:bottom w:val="single" w:color="auto" w:sz="8" w:space="0"/>
              <w:right w:val="nil"/>
            </w:tcBorders>
            <w:vAlign w:val="bottom"/>
          </w:tcPr>
          <w:p>
            <w:pPr>
              <w:spacing w:line="0" w:lineRule="atLeast"/>
              <w:rPr>
                <w:rFonts w:ascii="Times New Roman" w:hAnsi="Times New Roman" w:eastAsia="Times New Roman"/>
                <w:kern w:val="2"/>
                <w:sz w:val="24"/>
              </w:rPr>
            </w:pPr>
          </w:p>
        </w:tc>
        <w:tc>
          <w:tcPr>
            <w:tcW w:w="709" w:type="dxa"/>
            <w:tcBorders>
              <w:top w:val="nil"/>
              <w:left w:val="nil"/>
              <w:bottom w:val="single" w:color="auto" w:sz="8" w:space="0"/>
              <w:right w:val="nil"/>
            </w:tcBorders>
            <w:vAlign w:val="bottom"/>
          </w:tcPr>
          <w:p>
            <w:pPr>
              <w:spacing w:line="0" w:lineRule="atLeast"/>
              <w:rPr>
                <w:rFonts w:ascii="Times New Roman" w:hAnsi="Times New Roman" w:eastAsia="Times New Roman"/>
                <w:kern w:val="2"/>
                <w:sz w:val="24"/>
              </w:rPr>
            </w:pPr>
          </w:p>
        </w:tc>
        <w:tc>
          <w:tcPr>
            <w:tcW w:w="708" w:type="dxa"/>
            <w:tcBorders>
              <w:top w:val="nil"/>
              <w:left w:val="nil"/>
              <w:bottom w:val="single" w:color="auto" w:sz="8" w:space="0"/>
              <w:right w:val="nil"/>
            </w:tcBorders>
            <w:vAlign w:val="bottom"/>
          </w:tcPr>
          <w:p>
            <w:pPr>
              <w:spacing w:line="0" w:lineRule="atLeast"/>
              <w:rPr>
                <w:rFonts w:ascii="Times New Roman" w:hAnsi="Times New Roman" w:eastAsia="Times New Roman"/>
                <w:kern w:val="2"/>
                <w:sz w:val="24"/>
              </w:rPr>
            </w:pPr>
          </w:p>
        </w:tc>
        <w:tc>
          <w:tcPr>
            <w:tcW w:w="5648" w:type="dxa"/>
            <w:gridSpan w:val="6"/>
            <w:tcBorders>
              <w:top w:val="nil"/>
              <w:left w:val="nil"/>
              <w:bottom w:val="single" w:color="auto" w:sz="8" w:space="0"/>
              <w:right w:val="nil"/>
            </w:tcBorders>
            <w:vAlign w:val="bottom"/>
          </w:tcPr>
          <w:p>
            <w:pPr>
              <w:spacing w:line="0" w:lineRule="atLeast"/>
              <w:rPr>
                <w:rFonts w:hint="eastAsia" w:ascii="Times New Roman" w:hAnsi="Times New Roman" w:eastAsia="宋体"/>
                <w:kern w:val="2"/>
                <w:sz w:val="24"/>
                <w:lang w:val="en-US" w:eastAsia="zh-CN"/>
              </w:rPr>
            </w:pPr>
            <w:r>
              <w:rPr>
                <w:rFonts w:hint="eastAsia" w:ascii="Times New Roman" w:hAnsi="Times New Roman"/>
                <w:kern w:val="2"/>
                <w:sz w:val="24"/>
                <w:lang w:val="en-US" w:eastAsia="zh-CN"/>
              </w:rPr>
              <w:t xml:space="preserve">                               单位：万元</w:t>
            </w:r>
          </w:p>
        </w:tc>
      </w:tr>
      <w:tr>
        <w:tblPrEx>
          <w:tblLayout w:type="fixed"/>
          <w:tblCellMar>
            <w:top w:w="0" w:type="dxa"/>
            <w:left w:w="0" w:type="dxa"/>
            <w:bottom w:w="0" w:type="dxa"/>
            <w:right w:w="0" w:type="dxa"/>
          </w:tblCellMar>
        </w:tblPrEx>
        <w:trPr>
          <w:gridAfter w:val="1"/>
          <w:wAfter w:w="433" w:type="dxa"/>
          <w:trHeight w:val="297" w:hRule="atLeast"/>
          <w:jc w:val="center"/>
        </w:trPr>
        <w:tc>
          <w:tcPr>
            <w:tcW w:w="2835" w:type="dxa"/>
            <w:gridSpan w:val="2"/>
            <w:tcBorders>
              <w:top w:val="nil"/>
              <w:left w:val="single" w:color="auto" w:sz="8" w:space="0"/>
              <w:bottom w:val="single" w:color="auto" w:sz="8" w:space="0"/>
              <w:right w:val="single" w:color="auto" w:sz="8" w:space="0"/>
            </w:tcBorders>
            <w:vAlign w:val="bottom"/>
          </w:tcPr>
          <w:p>
            <w:pPr>
              <w:spacing w:line="240" w:lineRule="exact"/>
              <w:ind w:left="900"/>
              <w:rPr>
                <w:rFonts w:ascii="宋体" w:hAnsi="宋体"/>
                <w:b/>
                <w:kern w:val="2"/>
                <w:sz w:val="21"/>
              </w:rPr>
            </w:pPr>
            <w:r>
              <w:rPr>
                <w:rFonts w:hint="eastAsia" w:ascii="宋体" w:hAnsi="宋体"/>
                <w:b/>
                <w:kern w:val="2"/>
                <w:sz w:val="21"/>
              </w:rPr>
              <w:t>政府采购项目来源</w:t>
            </w:r>
          </w:p>
        </w:tc>
        <w:tc>
          <w:tcPr>
            <w:tcW w:w="1134" w:type="dxa"/>
            <w:gridSpan w:val="3"/>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1276"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1134"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709"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567"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709" w:type="dxa"/>
            <w:tcBorders>
              <w:top w:val="nil"/>
              <w:left w:val="nil"/>
              <w:bottom w:val="single" w:color="auto" w:sz="8" w:space="0"/>
              <w:right w:val="nil"/>
            </w:tcBorders>
            <w:vAlign w:val="bottom"/>
          </w:tcPr>
          <w:p>
            <w:pPr>
              <w:spacing w:line="0" w:lineRule="atLeast"/>
              <w:rPr>
                <w:rFonts w:ascii="Times New Roman" w:hAnsi="Times New Roman" w:eastAsia="Times New Roman"/>
                <w:kern w:val="2"/>
                <w:sz w:val="24"/>
              </w:rPr>
            </w:pPr>
          </w:p>
        </w:tc>
        <w:tc>
          <w:tcPr>
            <w:tcW w:w="708" w:type="dxa"/>
            <w:tcBorders>
              <w:top w:val="nil"/>
              <w:left w:val="nil"/>
              <w:bottom w:val="single" w:color="auto" w:sz="8" w:space="0"/>
              <w:right w:val="nil"/>
            </w:tcBorders>
            <w:vAlign w:val="bottom"/>
          </w:tcPr>
          <w:p>
            <w:pPr>
              <w:spacing w:line="0" w:lineRule="atLeast"/>
              <w:rPr>
                <w:rFonts w:ascii="Times New Roman" w:hAnsi="Times New Roman" w:eastAsia="Times New Roman"/>
                <w:kern w:val="2"/>
                <w:sz w:val="24"/>
              </w:rPr>
            </w:pPr>
          </w:p>
        </w:tc>
        <w:tc>
          <w:tcPr>
            <w:tcW w:w="2590" w:type="dxa"/>
            <w:gridSpan w:val="3"/>
            <w:tcBorders>
              <w:top w:val="nil"/>
              <w:left w:val="nil"/>
              <w:bottom w:val="single" w:color="auto" w:sz="8" w:space="0"/>
              <w:right w:val="nil"/>
            </w:tcBorders>
            <w:vAlign w:val="bottom"/>
          </w:tcPr>
          <w:p>
            <w:pPr>
              <w:spacing w:line="240" w:lineRule="exact"/>
              <w:jc w:val="center"/>
              <w:rPr>
                <w:rFonts w:ascii="宋体" w:hAnsi="宋体"/>
                <w:b/>
                <w:w w:val="99"/>
                <w:kern w:val="2"/>
                <w:sz w:val="21"/>
              </w:rPr>
            </w:pPr>
            <w:r>
              <w:rPr>
                <w:rFonts w:hint="eastAsia" w:ascii="宋体" w:hAnsi="宋体"/>
                <w:b/>
                <w:w w:val="99"/>
                <w:kern w:val="2"/>
                <w:sz w:val="21"/>
              </w:rPr>
              <w:t>政府采购金额</w:t>
            </w:r>
          </w:p>
        </w:tc>
        <w:tc>
          <w:tcPr>
            <w:tcW w:w="825" w:type="dxa"/>
            <w:tcBorders>
              <w:top w:val="nil"/>
              <w:left w:val="nil"/>
              <w:bottom w:val="single" w:color="auto" w:sz="8" w:space="0"/>
              <w:right w:val="nil"/>
            </w:tcBorders>
            <w:vAlign w:val="bottom"/>
          </w:tcPr>
          <w:p>
            <w:pPr>
              <w:spacing w:line="0" w:lineRule="atLeast"/>
              <w:rPr>
                <w:rFonts w:ascii="Times New Roman" w:hAnsi="Times New Roman" w:eastAsia="Times New Roman"/>
                <w:kern w:val="2"/>
                <w:sz w:val="24"/>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rPr>
            </w:pPr>
          </w:p>
        </w:tc>
      </w:tr>
      <w:tr>
        <w:tblPrEx>
          <w:tblLayout w:type="fixed"/>
          <w:tblCellMar>
            <w:top w:w="0" w:type="dxa"/>
            <w:left w:w="0" w:type="dxa"/>
            <w:bottom w:w="0" w:type="dxa"/>
            <w:right w:w="0" w:type="dxa"/>
          </w:tblCellMar>
        </w:tblPrEx>
        <w:trPr>
          <w:gridAfter w:val="1"/>
          <w:wAfter w:w="433" w:type="dxa"/>
          <w:trHeight w:val="468" w:hRule="atLeast"/>
          <w:jc w:val="center"/>
        </w:trPr>
        <w:tc>
          <w:tcPr>
            <w:tcW w:w="2127" w:type="dxa"/>
            <w:tcBorders>
              <w:top w:val="nil"/>
              <w:left w:val="single" w:color="auto" w:sz="8" w:space="0"/>
              <w:bottom w:val="nil"/>
              <w:right w:val="single" w:color="auto" w:sz="8" w:space="0"/>
            </w:tcBorders>
            <w:vAlign w:val="bottom"/>
          </w:tcPr>
          <w:p>
            <w:pPr>
              <w:spacing w:line="0" w:lineRule="atLeast"/>
              <w:rPr>
                <w:rFonts w:ascii="Times New Roman" w:hAnsi="Times New Roman" w:eastAsia="Times New Roman"/>
                <w:kern w:val="2"/>
                <w:sz w:val="24"/>
              </w:rPr>
            </w:pPr>
          </w:p>
        </w:tc>
        <w:tc>
          <w:tcPr>
            <w:tcW w:w="708"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1134" w:type="dxa"/>
            <w:gridSpan w:val="3"/>
            <w:vMerge w:val="restart"/>
            <w:tcBorders>
              <w:top w:val="nil"/>
              <w:left w:val="nil"/>
              <w:bottom w:val="nil"/>
              <w:right w:val="single" w:color="auto" w:sz="8" w:space="0"/>
            </w:tcBorders>
            <w:vAlign w:val="bottom"/>
          </w:tcPr>
          <w:p>
            <w:pPr>
              <w:spacing w:line="240" w:lineRule="exact"/>
              <w:ind w:left="140"/>
              <w:rPr>
                <w:rFonts w:ascii="宋体" w:hAnsi="宋体"/>
                <w:b/>
                <w:kern w:val="2"/>
                <w:sz w:val="21"/>
              </w:rPr>
            </w:pPr>
            <w:r>
              <w:rPr>
                <w:rFonts w:hint="eastAsia" w:ascii="宋体" w:hAnsi="宋体"/>
                <w:b/>
                <w:kern w:val="2"/>
                <w:sz w:val="21"/>
              </w:rPr>
              <w:t>采购物</w:t>
            </w:r>
          </w:p>
        </w:tc>
        <w:tc>
          <w:tcPr>
            <w:tcW w:w="1276" w:type="dxa"/>
            <w:vMerge w:val="restart"/>
            <w:tcBorders>
              <w:top w:val="nil"/>
              <w:left w:val="nil"/>
              <w:bottom w:val="nil"/>
              <w:right w:val="single" w:color="auto" w:sz="8" w:space="0"/>
            </w:tcBorders>
            <w:vAlign w:val="bottom"/>
          </w:tcPr>
          <w:p>
            <w:pPr>
              <w:spacing w:line="240" w:lineRule="exact"/>
              <w:jc w:val="center"/>
              <w:rPr>
                <w:rFonts w:ascii="宋体" w:hAnsi="宋体"/>
                <w:b/>
                <w:w w:val="98"/>
                <w:kern w:val="2"/>
                <w:sz w:val="21"/>
              </w:rPr>
            </w:pPr>
            <w:r>
              <w:rPr>
                <w:rFonts w:hint="eastAsia" w:ascii="宋体" w:hAnsi="宋体"/>
                <w:b/>
                <w:w w:val="98"/>
                <w:kern w:val="2"/>
                <w:sz w:val="21"/>
              </w:rPr>
              <w:t>政府采购目</w:t>
            </w:r>
          </w:p>
        </w:tc>
        <w:tc>
          <w:tcPr>
            <w:tcW w:w="1134" w:type="dxa"/>
            <w:vMerge w:val="restart"/>
            <w:tcBorders>
              <w:top w:val="nil"/>
              <w:left w:val="nil"/>
              <w:bottom w:val="nil"/>
              <w:right w:val="single" w:color="auto" w:sz="8" w:space="0"/>
            </w:tcBorders>
            <w:vAlign w:val="bottom"/>
          </w:tcPr>
          <w:p>
            <w:pPr>
              <w:spacing w:line="240" w:lineRule="exact"/>
              <w:ind w:left="140"/>
              <w:rPr>
                <w:rFonts w:ascii="宋体" w:hAnsi="宋体"/>
                <w:b/>
                <w:kern w:val="2"/>
                <w:sz w:val="21"/>
              </w:rPr>
            </w:pPr>
            <w:r>
              <w:rPr>
                <w:rFonts w:hint="eastAsia" w:ascii="宋体" w:hAnsi="宋体"/>
                <w:b/>
                <w:kern w:val="2"/>
                <w:sz w:val="21"/>
              </w:rPr>
              <w:t>数量</w:t>
            </w:r>
          </w:p>
        </w:tc>
        <w:tc>
          <w:tcPr>
            <w:tcW w:w="709"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567"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709"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708" w:type="dxa"/>
            <w:tcBorders>
              <w:top w:val="nil"/>
              <w:left w:val="nil"/>
              <w:bottom w:val="single" w:color="auto" w:sz="8" w:space="0"/>
              <w:right w:val="nil"/>
            </w:tcBorders>
            <w:vAlign w:val="bottom"/>
          </w:tcPr>
          <w:p>
            <w:pPr>
              <w:spacing w:line="0" w:lineRule="atLeast"/>
              <w:rPr>
                <w:rFonts w:ascii="Times New Roman" w:hAnsi="Times New Roman" w:eastAsia="Times New Roman"/>
                <w:kern w:val="2"/>
                <w:sz w:val="24"/>
              </w:rPr>
            </w:pPr>
          </w:p>
        </w:tc>
        <w:tc>
          <w:tcPr>
            <w:tcW w:w="2590" w:type="dxa"/>
            <w:gridSpan w:val="3"/>
            <w:tcBorders>
              <w:top w:val="nil"/>
              <w:left w:val="nil"/>
              <w:bottom w:val="single" w:color="auto" w:sz="8" w:space="0"/>
              <w:right w:val="nil"/>
            </w:tcBorders>
            <w:vAlign w:val="bottom"/>
          </w:tcPr>
          <w:p>
            <w:pPr>
              <w:spacing w:line="240" w:lineRule="exact"/>
              <w:jc w:val="center"/>
              <w:rPr>
                <w:rFonts w:ascii="宋体" w:hAnsi="宋体"/>
                <w:b/>
                <w:w w:val="99"/>
                <w:kern w:val="2"/>
                <w:sz w:val="21"/>
              </w:rPr>
            </w:pPr>
            <w:r>
              <w:rPr>
                <w:rFonts w:hint="eastAsia" w:ascii="宋体" w:hAnsi="宋体"/>
                <w:b/>
                <w:w w:val="99"/>
                <w:kern w:val="2"/>
                <w:sz w:val="21"/>
              </w:rPr>
              <w:t>当年部门预算安排资金</w:t>
            </w: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rPr>
            </w:pPr>
          </w:p>
        </w:tc>
        <w:tc>
          <w:tcPr>
            <w:tcW w:w="1800"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r>
      <w:tr>
        <w:tblPrEx>
          <w:tblLayout w:type="fixed"/>
          <w:tblCellMar>
            <w:top w:w="0" w:type="dxa"/>
            <w:left w:w="0" w:type="dxa"/>
            <w:bottom w:w="0" w:type="dxa"/>
            <w:right w:w="0" w:type="dxa"/>
          </w:tblCellMar>
        </w:tblPrEx>
        <w:trPr>
          <w:gridAfter w:val="1"/>
          <w:wAfter w:w="433" w:type="dxa"/>
          <w:trHeight w:val="191" w:hRule="atLeast"/>
          <w:jc w:val="center"/>
        </w:trPr>
        <w:tc>
          <w:tcPr>
            <w:tcW w:w="2127" w:type="dxa"/>
            <w:tcBorders>
              <w:top w:val="nil"/>
              <w:left w:val="single" w:color="auto" w:sz="8" w:space="0"/>
              <w:bottom w:val="nil"/>
              <w:right w:val="single" w:color="auto" w:sz="8" w:space="0"/>
            </w:tcBorders>
            <w:vAlign w:val="bottom"/>
          </w:tcPr>
          <w:p>
            <w:pPr>
              <w:spacing w:line="0" w:lineRule="atLeast"/>
              <w:rPr>
                <w:rFonts w:ascii="Times New Roman" w:hAnsi="Times New Roman" w:eastAsia="Times New Roman"/>
                <w:kern w:val="2"/>
                <w:sz w:val="11"/>
              </w:rPr>
            </w:pPr>
          </w:p>
        </w:tc>
        <w:tc>
          <w:tcPr>
            <w:tcW w:w="708"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1"/>
              </w:rPr>
            </w:pPr>
          </w:p>
        </w:tc>
        <w:tc>
          <w:tcPr>
            <w:tcW w:w="1134" w:type="dxa"/>
            <w:gridSpan w:val="3"/>
            <w:vMerge w:val="continue"/>
            <w:tcBorders>
              <w:top w:val="nil"/>
              <w:left w:val="nil"/>
              <w:bottom w:val="nil"/>
              <w:right w:val="single" w:color="auto" w:sz="8" w:space="0"/>
            </w:tcBorders>
            <w:vAlign w:val="center"/>
          </w:tcPr>
          <w:p>
            <w:pPr>
              <w:rPr>
                <w:rFonts w:ascii="宋体" w:hAnsi="宋体"/>
                <w:b/>
                <w:kern w:val="2"/>
                <w:sz w:val="21"/>
              </w:rPr>
            </w:pPr>
          </w:p>
        </w:tc>
        <w:tc>
          <w:tcPr>
            <w:tcW w:w="1276" w:type="dxa"/>
            <w:vMerge w:val="continue"/>
            <w:tcBorders>
              <w:top w:val="nil"/>
              <w:left w:val="nil"/>
              <w:bottom w:val="nil"/>
              <w:right w:val="single" w:color="auto" w:sz="8" w:space="0"/>
            </w:tcBorders>
            <w:vAlign w:val="center"/>
          </w:tcPr>
          <w:p>
            <w:pPr>
              <w:rPr>
                <w:rFonts w:ascii="宋体" w:hAnsi="宋体"/>
                <w:b/>
                <w:w w:val="98"/>
                <w:kern w:val="2"/>
                <w:sz w:val="21"/>
              </w:rPr>
            </w:pPr>
          </w:p>
        </w:tc>
        <w:tc>
          <w:tcPr>
            <w:tcW w:w="1134" w:type="dxa"/>
            <w:vMerge w:val="continue"/>
            <w:tcBorders>
              <w:top w:val="nil"/>
              <w:left w:val="nil"/>
              <w:bottom w:val="nil"/>
              <w:right w:val="single" w:color="auto" w:sz="8" w:space="0"/>
            </w:tcBorders>
            <w:vAlign w:val="center"/>
          </w:tcPr>
          <w:p>
            <w:pPr>
              <w:rPr>
                <w:rFonts w:ascii="宋体" w:hAnsi="宋体"/>
                <w:b/>
                <w:kern w:val="2"/>
                <w:sz w:val="21"/>
              </w:rPr>
            </w:pPr>
          </w:p>
        </w:tc>
        <w:tc>
          <w:tcPr>
            <w:tcW w:w="709" w:type="dxa"/>
            <w:vMerge w:val="restart"/>
            <w:tcBorders>
              <w:top w:val="nil"/>
              <w:left w:val="nil"/>
              <w:bottom w:val="nil"/>
              <w:right w:val="single" w:color="auto" w:sz="8" w:space="0"/>
            </w:tcBorders>
            <w:vAlign w:val="bottom"/>
          </w:tcPr>
          <w:p>
            <w:pPr>
              <w:spacing w:line="240" w:lineRule="exact"/>
              <w:ind w:right="57"/>
              <w:jc w:val="right"/>
              <w:rPr>
                <w:rFonts w:ascii="宋体" w:hAnsi="宋体"/>
                <w:b/>
                <w:kern w:val="2"/>
                <w:sz w:val="21"/>
              </w:rPr>
            </w:pPr>
            <w:r>
              <w:rPr>
                <w:rFonts w:hint="eastAsia" w:ascii="宋体" w:hAnsi="宋体"/>
                <w:b/>
                <w:kern w:val="2"/>
                <w:sz w:val="21"/>
              </w:rPr>
              <w:t>数量</w:t>
            </w:r>
          </w:p>
        </w:tc>
        <w:tc>
          <w:tcPr>
            <w:tcW w:w="567" w:type="dxa"/>
            <w:vMerge w:val="restart"/>
            <w:tcBorders>
              <w:top w:val="nil"/>
              <w:left w:val="nil"/>
              <w:bottom w:val="nil"/>
              <w:right w:val="single" w:color="auto" w:sz="8" w:space="0"/>
            </w:tcBorders>
            <w:vAlign w:val="bottom"/>
          </w:tcPr>
          <w:p>
            <w:pPr>
              <w:spacing w:line="240" w:lineRule="exact"/>
              <w:ind w:right="134"/>
              <w:jc w:val="right"/>
              <w:rPr>
                <w:rFonts w:ascii="宋体" w:hAnsi="宋体"/>
                <w:b/>
                <w:kern w:val="2"/>
                <w:sz w:val="21"/>
              </w:rPr>
            </w:pPr>
            <w:r>
              <w:rPr>
                <w:rFonts w:hint="eastAsia" w:ascii="宋体" w:hAnsi="宋体"/>
                <w:b/>
                <w:kern w:val="2"/>
                <w:sz w:val="21"/>
              </w:rPr>
              <w:t>单价</w:t>
            </w:r>
          </w:p>
        </w:tc>
        <w:tc>
          <w:tcPr>
            <w:tcW w:w="709"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1"/>
              </w:rPr>
            </w:pPr>
          </w:p>
        </w:tc>
        <w:tc>
          <w:tcPr>
            <w:tcW w:w="708"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1"/>
              </w:rPr>
            </w:pPr>
          </w:p>
        </w:tc>
        <w:tc>
          <w:tcPr>
            <w:tcW w:w="850" w:type="dxa"/>
            <w:vMerge w:val="restart"/>
            <w:tcBorders>
              <w:top w:val="nil"/>
              <w:left w:val="nil"/>
              <w:bottom w:val="nil"/>
              <w:right w:val="single" w:color="auto" w:sz="8" w:space="0"/>
            </w:tcBorders>
            <w:vAlign w:val="bottom"/>
          </w:tcPr>
          <w:p>
            <w:pPr>
              <w:spacing w:line="240" w:lineRule="exact"/>
              <w:jc w:val="center"/>
              <w:rPr>
                <w:rFonts w:ascii="宋体" w:hAnsi="宋体"/>
                <w:b/>
                <w:kern w:val="2"/>
                <w:sz w:val="21"/>
              </w:rPr>
            </w:pPr>
            <w:r>
              <w:rPr>
                <w:rFonts w:hint="eastAsia" w:ascii="宋体" w:hAnsi="宋体"/>
                <w:b/>
                <w:kern w:val="2"/>
                <w:sz w:val="21"/>
              </w:rPr>
              <w:t>一般公</w:t>
            </w:r>
          </w:p>
        </w:tc>
        <w:tc>
          <w:tcPr>
            <w:tcW w:w="88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1"/>
              </w:rPr>
            </w:pPr>
          </w:p>
        </w:tc>
        <w:tc>
          <w:tcPr>
            <w:tcW w:w="85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1"/>
              </w:rPr>
            </w:pPr>
          </w:p>
        </w:tc>
        <w:tc>
          <w:tcPr>
            <w:tcW w:w="82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1"/>
              </w:rPr>
            </w:pPr>
          </w:p>
        </w:tc>
        <w:tc>
          <w:tcPr>
            <w:tcW w:w="1800" w:type="dxa"/>
            <w:vMerge w:val="restart"/>
            <w:tcBorders>
              <w:top w:val="nil"/>
              <w:left w:val="nil"/>
              <w:bottom w:val="nil"/>
              <w:right w:val="single" w:color="auto" w:sz="8" w:space="0"/>
            </w:tcBorders>
            <w:vAlign w:val="bottom"/>
          </w:tcPr>
          <w:p>
            <w:pPr>
              <w:spacing w:line="240" w:lineRule="exact"/>
              <w:ind w:right="34"/>
              <w:jc w:val="right"/>
              <w:rPr>
                <w:rFonts w:ascii="宋体" w:hAnsi="宋体"/>
                <w:b/>
                <w:kern w:val="2"/>
                <w:sz w:val="21"/>
              </w:rPr>
            </w:pPr>
            <w:r>
              <w:rPr>
                <w:rFonts w:hint="eastAsia" w:ascii="宋体" w:hAnsi="宋体"/>
                <w:b/>
                <w:kern w:val="2"/>
                <w:sz w:val="21"/>
              </w:rPr>
              <w:t>其他渠</w:t>
            </w:r>
          </w:p>
        </w:tc>
      </w:tr>
      <w:tr>
        <w:tblPrEx>
          <w:tblLayout w:type="fixed"/>
          <w:tblCellMar>
            <w:top w:w="0" w:type="dxa"/>
            <w:left w:w="0" w:type="dxa"/>
            <w:bottom w:w="0" w:type="dxa"/>
            <w:right w:w="0" w:type="dxa"/>
          </w:tblCellMar>
        </w:tblPrEx>
        <w:trPr>
          <w:gridAfter w:val="1"/>
          <w:wAfter w:w="433" w:type="dxa"/>
          <w:trHeight w:val="166" w:hRule="atLeast"/>
          <w:jc w:val="center"/>
        </w:trPr>
        <w:tc>
          <w:tcPr>
            <w:tcW w:w="2127" w:type="dxa"/>
            <w:vMerge w:val="restart"/>
            <w:tcBorders>
              <w:top w:val="nil"/>
              <w:left w:val="single" w:color="auto" w:sz="8" w:space="0"/>
              <w:bottom w:val="nil"/>
              <w:right w:val="single" w:color="auto" w:sz="8" w:space="0"/>
            </w:tcBorders>
            <w:vAlign w:val="bottom"/>
          </w:tcPr>
          <w:p>
            <w:pPr>
              <w:spacing w:line="240" w:lineRule="exact"/>
              <w:jc w:val="center"/>
              <w:rPr>
                <w:rFonts w:ascii="宋体" w:hAnsi="宋体"/>
                <w:b/>
                <w:w w:val="99"/>
                <w:kern w:val="2"/>
                <w:sz w:val="21"/>
              </w:rPr>
            </w:pPr>
            <w:r>
              <w:rPr>
                <w:rFonts w:hint="eastAsia" w:ascii="宋体" w:hAnsi="宋体"/>
                <w:b/>
                <w:w w:val="99"/>
                <w:kern w:val="2"/>
                <w:sz w:val="21"/>
              </w:rPr>
              <w:t>项目名称</w:t>
            </w:r>
          </w:p>
        </w:tc>
        <w:tc>
          <w:tcPr>
            <w:tcW w:w="708" w:type="dxa"/>
            <w:vMerge w:val="restart"/>
            <w:tcBorders>
              <w:top w:val="nil"/>
              <w:left w:val="nil"/>
              <w:bottom w:val="nil"/>
              <w:right w:val="single" w:color="auto" w:sz="8" w:space="0"/>
            </w:tcBorders>
            <w:vAlign w:val="bottom"/>
          </w:tcPr>
          <w:p>
            <w:pPr>
              <w:spacing w:line="240" w:lineRule="exact"/>
              <w:ind w:right="14"/>
              <w:jc w:val="right"/>
              <w:rPr>
                <w:rFonts w:ascii="宋体" w:hAnsi="宋体"/>
                <w:b/>
                <w:kern w:val="2"/>
                <w:sz w:val="21"/>
              </w:rPr>
            </w:pPr>
            <w:r>
              <w:rPr>
                <w:rFonts w:hint="eastAsia" w:ascii="宋体" w:hAnsi="宋体"/>
                <w:b/>
                <w:kern w:val="2"/>
                <w:sz w:val="21"/>
              </w:rPr>
              <w:t>预算资金</w:t>
            </w:r>
          </w:p>
        </w:tc>
        <w:tc>
          <w:tcPr>
            <w:tcW w:w="1134" w:type="dxa"/>
            <w:gridSpan w:val="3"/>
            <w:vMerge w:val="restart"/>
            <w:tcBorders>
              <w:top w:val="nil"/>
              <w:left w:val="nil"/>
              <w:bottom w:val="nil"/>
              <w:right w:val="single" w:color="auto" w:sz="8" w:space="0"/>
            </w:tcBorders>
            <w:vAlign w:val="bottom"/>
          </w:tcPr>
          <w:p>
            <w:pPr>
              <w:spacing w:line="240" w:lineRule="exact"/>
              <w:ind w:left="140"/>
              <w:rPr>
                <w:rFonts w:ascii="宋体" w:hAnsi="宋体"/>
                <w:b/>
                <w:kern w:val="2"/>
                <w:sz w:val="21"/>
              </w:rPr>
            </w:pPr>
            <w:r>
              <w:rPr>
                <w:rFonts w:hint="eastAsia" w:ascii="宋体" w:hAnsi="宋体"/>
                <w:b/>
                <w:kern w:val="2"/>
                <w:sz w:val="21"/>
              </w:rPr>
              <w:t>品名称</w:t>
            </w:r>
          </w:p>
        </w:tc>
        <w:tc>
          <w:tcPr>
            <w:tcW w:w="1276" w:type="dxa"/>
            <w:vMerge w:val="restart"/>
            <w:tcBorders>
              <w:top w:val="nil"/>
              <w:left w:val="nil"/>
              <w:bottom w:val="nil"/>
              <w:right w:val="single" w:color="auto" w:sz="8" w:space="0"/>
            </w:tcBorders>
            <w:vAlign w:val="bottom"/>
          </w:tcPr>
          <w:p>
            <w:pPr>
              <w:spacing w:line="240" w:lineRule="exact"/>
              <w:jc w:val="center"/>
              <w:rPr>
                <w:rFonts w:ascii="宋体" w:hAnsi="宋体"/>
                <w:b/>
                <w:kern w:val="2"/>
                <w:sz w:val="21"/>
              </w:rPr>
            </w:pPr>
            <w:r>
              <w:rPr>
                <w:rFonts w:hint="eastAsia" w:ascii="宋体" w:hAnsi="宋体"/>
                <w:b/>
                <w:kern w:val="2"/>
                <w:sz w:val="21"/>
              </w:rPr>
              <w:t>录序号</w:t>
            </w:r>
          </w:p>
        </w:tc>
        <w:tc>
          <w:tcPr>
            <w:tcW w:w="1134" w:type="dxa"/>
            <w:vMerge w:val="restart"/>
            <w:tcBorders>
              <w:top w:val="nil"/>
              <w:left w:val="nil"/>
              <w:bottom w:val="nil"/>
              <w:right w:val="single" w:color="auto" w:sz="8" w:space="0"/>
            </w:tcBorders>
            <w:vAlign w:val="bottom"/>
          </w:tcPr>
          <w:p>
            <w:pPr>
              <w:spacing w:line="240" w:lineRule="exact"/>
              <w:ind w:left="140"/>
              <w:rPr>
                <w:rFonts w:ascii="宋体" w:hAnsi="宋体"/>
                <w:b/>
                <w:kern w:val="2"/>
                <w:sz w:val="21"/>
              </w:rPr>
            </w:pPr>
            <w:r>
              <w:rPr>
                <w:rFonts w:hint="eastAsia" w:ascii="宋体" w:hAnsi="宋体"/>
                <w:b/>
                <w:kern w:val="2"/>
                <w:sz w:val="21"/>
              </w:rPr>
              <w:t>单位</w:t>
            </w:r>
          </w:p>
        </w:tc>
        <w:tc>
          <w:tcPr>
            <w:tcW w:w="709" w:type="dxa"/>
            <w:vMerge w:val="continue"/>
            <w:tcBorders>
              <w:top w:val="nil"/>
              <w:left w:val="nil"/>
              <w:bottom w:val="nil"/>
              <w:right w:val="single" w:color="auto" w:sz="8" w:space="0"/>
            </w:tcBorders>
            <w:vAlign w:val="center"/>
          </w:tcPr>
          <w:p>
            <w:pPr>
              <w:rPr>
                <w:rFonts w:ascii="宋体" w:hAnsi="宋体"/>
                <w:b/>
                <w:kern w:val="2"/>
                <w:sz w:val="21"/>
              </w:rPr>
            </w:pPr>
          </w:p>
        </w:tc>
        <w:tc>
          <w:tcPr>
            <w:tcW w:w="567" w:type="dxa"/>
            <w:vMerge w:val="continue"/>
            <w:tcBorders>
              <w:top w:val="nil"/>
              <w:left w:val="nil"/>
              <w:bottom w:val="nil"/>
              <w:right w:val="single" w:color="auto" w:sz="8" w:space="0"/>
            </w:tcBorders>
            <w:vAlign w:val="center"/>
          </w:tcPr>
          <w:p>
            <w:pPr>
              <w:rPr>
                <w:rFonts w:ascii="宋体" w:hAnsi="宋体"/>
                <w:b/>
                <w:kern w:val="2"/>
                <w:sz w:val="21"/>
              </w:rPr>
            </w:pPr>
          </w:p>
        </w:tc>
        <w:tc>
          <w:tcPr>
            <w:tcW w:w="709" w:type="dxa"/>
            <w:vMerge w:val="restart"/>
            <w:tcBorders>
              <w:top w:val="nil"/>
              <w:left w:val="nil"/>
              <w:bottom w:val="nil"/>
              <w:right w:val="single" w:color="auto" w:sz="8" w:space="0"/>
            </w:tcBorders>
            <w:vAlign w:val="bottom"/>
          </w:tcPr>
          <w:p>
            <w:pPr>
              <w:spacing w:line="240" w:lineRule="exact"/>
              <w:ind w:right="174"/>
              <w:jc w:val="right"/>
              <w:rPr>
                <w:rFonts w:ascii="宋体" w:hAnsi="宋体"/>
                <w:b/>
                <w:kern w:val="2"/>
                <w:sz w:val="21"/>
              </w:rPr>
            </w:pPr>
            <w:r>
              <w:rPr>
                <w:rFonts w:hint="eastAsia" w:ascii="宋体" w:hAnsi="宋体"/>
                <w:b/>
                <w:kern w:val="2"/>
                <w:sz w:val="21"/>
              </w:rPr>
              <w:t>总计</w:t>
            </w:r>
          </w:p>
        </w:tc>
        <w:tc>
          <w:tcPr>
            <w:tcW w:w="708"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4"/>
              </w:rPr>
            </w:pPr>
          </w:p>
        </w:tc>
        <w:tc>
          <w:tcPr>
            <w:tcW w:w="850" w:type="dxa"/>
            <w:vMerge w:val="continue"/>
            <w:tcBorders>
              <w:top w:val="nil"/>
              <w:left w:val="nil"/>
              <w:bottom w:val="nil"/>
              <w:right w:val="single" w:color="auto" w:sz="8" w:space="0"/>
            </w:tcBorders>
            <w:vAlign w:val="center"/>
          </w:tcPr>
          <w:p>
            <w:pPr>
              <w:rPr>
                <w:rFonts w:ascii="宋体" w:hAnsi="宋体"/>
                <w:b/>
                <w:kern w:val="2"/>
                <w:sz w:val="21"/>
              </w:rPr>
            </w:pPr>
          </w:p>
        </w:tc>
        <w:tc>
          <w:tcPr>
            <w:tcW w:w="885" w:type="dxa"/>
            <w:vMerge w:val="restart"/>
            <w:tcBorders>
              <w:top w:val="nil"/>
              <w:left w:val="nil"/>
              <w:bottom w:val="nil"/>
              <w:right w:val="single" w:color="auto" w:sz="8" w:space="0"/>
            </w:tcBorders>
            <w:vAlign w:val="bottom"/>
          </w:tcPr>
          <w:p>
            <w:pPr>
              <w:spacing w:line="240" w:lineRule="exact"/>
              <w:jc w:val="center"/>
              <w:rPr>
                <w:rFonts w:ascii="宋体" w:hAnsi="宋体"/>
                <w:b/>
                <w:kern w:val="2"/>
                <w:sz w:val="21"/>
              </w:rPr>
            </w:pPr>
            <w:r>
              <w:rPr>
                <w:rFonts w:hint="eastAsia" w:ascii="宋体" w:hAnsi="宋体"/>
                <w:b/>
                <w:kern w:val="2"/>
                <w:sz w:val="21"/>
              </w:rPr>
              <w:t>基金预</w:t>
            </w:r>
          </w:p>
        </w:tc>
        <w:tc>
          <w:tcPr>
            <w:tcW w:w="855" w:type="dxa"/>
            <w:vMerge w:val="restart"/>
            <w:tcBorders>
              <w:top w:val="nil"/>
              <w:left w:val="nil"/>
              <w:bottom w:val="nil"/>
              <w:right w:val="single" w:color="auto" w:sz="8" w:space="0"/>
            </w:tcBorders>
            <w:vAlign w:val="bottom"/>
          </w:tcPr>
          <w:p>
            <w:pPr>
              <w:spacing w:line="240" w:lineRule="exact"/>
              <w:ind w:left="140"/>
              <w:rPr>
                <w:rFonts w:ascii="宋体" w:hAnsi="宋体"/>
                <w:b/>
                <w:kern w:val="2"/>
                <w:sz w:val="21"/>
              </w:rPr>
            </w:pPr>
            <w:r>
              <w:rPr>
                <w:rFonts w:hint="eastAsia" w:ascii="宋体" w:hAnsi="宋体"/>
                <w:b/>
                <w:kern w:val="2"/>
                <w:sz w:val="21"/>
              </w:rPr>
              <w:t>财政专</w:t>
            </w:r>
          </w:p>
        </w:tc>
        <w:tc>
          <w:tcPr>
            <w:tcW w:w="825" w:type="dxa"/>
            <w:vMerge w:val="restart"/>
            <w:tcBorders>
              <w:top w:val="nil"/>
              <w:left w:val="nil"/>
              <w:bottom w:val="nil"/>
              <w:right w:val="single" w:color="auto" w:sz="8" w:space="0"/>
            </w:tcBorders>
            <w:vAlign w:val="bottom"/>
          </w:tcPr>
          <w:p>
            <w:pPr>
              <w:spacing w:line="240" w:lineRule="exact"/>
              <w:ind w:right="51"/>
              <w:jc w:val="right"/>
              <w:rPr>
                <w:rFonts w:ascii="宋体" w:hAnsi="宋体"/>
                <w:b/>
                <w:kern w:val="2"/>
                <w:sz w:val="21"/>
              </w:rPr>
            </w:pPr>
            <w:r>
              <w:rPr>
                <w:rFonts w:hint="eastAsia" w:ascii="宋体" w:hAnsi="宋体"/>
                <w:b/>
                <w:kern w:val="2"/>
                <w:sz w:val="21"/>
              </w:rPr>
              <w:t>其他来</w:t>
            </w:r>
          </w:p>
        </w:tc>
        <w:tc>
          <w:tcPr>
            <w:tcW w:w="1800" w:type="dxa"/>
            <w:vMerge w:val="continue"/>
            <w:tcBorders>
              <w:top w:val="nil"/>
              <w:left w:val="nil"/>
              <w:bottom w:val="nil"/>
              <w:right w:val="single" w:color="auto" w:sz="8" w:space="0"/>
            </w:tcBorders>
            <w:vAlign w:val="center"/>
          </w:tcPr>
          <w:p>
            <w:pPr>
              <w:rPr>
                <w:rFonts w:ascii="宋体" w:hAnsi="宋体"/>
                <w:b/>
                <w:kern w:val="2"/>
                <w:sz w:val="21"/>
              </w:rPr>
            </w:pPr>
          </w:p>
        </w:tc>
      </w:tr>
      <w:tr>
        <w:tblPrEx>
          <w:tblLayout w:type="fixed"/>
          <w:tblCellMar>
            <w:top w:w="0" w:type="dxa"/>
            <w:left w:w="0" w:type="dxa"/>
            <w:bottom w:w="0" w:type="dxa"/>
            <w:right w:w="0" w:type="dxa"/>
          </w:tblCellMar>
        </w:tblPrEx>
        <w:trPr>
          <w:gridAfter w:val="1"/>
          <w:wAfter w:w="433" w:type="dxa"/>
          <w:trHeight w:val="151" w:hRule="atLeast"/>
          <w:jc w:val="center"/>
        </w:trPr>
        <w:tc>
          <w:tcPr>
            <w:tcW w:w="2127" w:type="dxa"/>
            <w:vMerge w:val="continue"/>
            <w:tcBorders>
              <w:top w:val="nil"/>
              <w:left w:val="single" w:color="auto" w:sz="8" w:space="0"/>
              <w:bottom w:val="nil"/>
              <w:right w:val="single" w:color="auto" w:sz="8" w:space="0"/>
            </w:tcBorders>
            <w:vAlign w:val="center"/>
          </w:tcPr>
          <w:p>
            <w:pPr>
              <w:rPr>
                <w:rFonts w:ascii="宋体" w:hAnsi="宋体"/>
                <w:b/>
                <w:w w:val="99"/>
                <w:kern w:val="2"/>
                <w:sz w:val="21"/>
              </w:rPr>
            </w:pPr>
          </w:p>
        </w:tc>
        <w:tc>
          <w:tcPr>
            <w:tcW w:w="708" w:type="dxa"/>
            <w:vMerge w:val="continue"/>
            <w:tcBorders>
              <w:top w:val="nil"/>
              <w:left w:val="nil"/>
              <w:bottom w:val="nil"/>
              <w:right w:val="single" w:color="auto" w:sz="8" w:space="0"/>
            </w:tcBorders>
            <w:vAlign w:val="center"/>
          </w:tcPr>
          <w:p>
            <w:pPr>
              <w:rPr>
                <w:rFonts w:ascii="宋体" w:hAnsi="宋体"/>
                <w:b/>
                <w:kern w:val="2"/>
                <w:sz w:val="21"/>
              </w:rPr>
            </w:pPr>
          </w:p>
        </w:tc>
        <w:tc>
          <w:tcPr>
            <w:tcW w:w="1134" w:type="dxa"/>
            <w:gridSpan w:val="3"/>
            <w:vMerge w:val="continue"/>
            <w:tcBorders>
              <w:top w:val="nil"/>
              <w:left w:val="nil"/>
              <w:bottom w:val="nil"/>
              <w:right w:val="single" w:color="auto" w:sz="8" w:space="0"/>
            </w:tcBorders>
            <w:vAlign w:val="center"/>
          </w:tcPr>
          <w:p>
            <w:pPr>
              <w:rPr>
                <w:rFonts w:ascii="宋体" w:hAnsi="宋体"/>
                <w:b/>
                <w:kern w:val="2"/>
                <w:sz w:val="21"/>
              </w:rPr>
            </w:pPr>
          </w:p>
        </w:tc>
        <w:tc>
          <w:tcPr>
            <w:tcW w:w="1276" w:type="dxa"/>
            <w:vMerge w:val="continue"/>
            <w:tcBorders>
              <w:top w:val="nil"/>
              <w:left w:val="nil"/>
              <w:bottom w:val="nil"/>
              <w:right w:val="single" w:color="auto" w:sz="8" w:space="0"/>
            </w:tcBorders>
            <w:vAlign w:val="center"/>
          </w:tcPr>
          <w:p>
            <w:pPr>
              <w:rPr>
                <w:rFonts w:ascii="宋体" w:hAnsi="宋体"/>
                <w:b/>
                <w:kern w:val="2"/>
                <w:sz w:val="21"/>
              </w:rPr>
            </w:pPr>
          </w:p>
        </w:tc>
        <w:tc>
          <w:tcPr>
            <w:tcW w:w="1134" w:type="dxa"/>
            <w:vMerge w:val="continue"/>
            <w:tcBorders>
              <w:top w:val="nil"/>
              <w:left w:val="nil"/>
              <w:bottom w:val="nil"/>
              <w:right w:val="single" w:color="auto" w:sz="8" w:space="0"/>
            </w:tcBorders>
            <w:vAlign w:val="center"/>
          </w:tcPr>
          <w:p>
            <w:pPr>
              <w:rPr>
                <w:rFonts w:ascii="宋体" w:hAnsi="宋体"/>
                <w:b/>
                <w:kern w:val="2"/>
                <w:sz w:val="21"/>
              </w:rPr>
            </w:pPr>
          </w:p>
        </w:tc>
        <w:tc>
          <w:tcPr>
            <w:tcW w:w="709"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567"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709" w:type="dxa"/>
            <w:vMerge w:val="continue"/>
            <w:tcBorders>
              <w:top w:val="nil"/>
              <w:left w:val="nil"/>
              <w:bottom w:val="nil"/>
              <w:right w:val="single" w:color="auto" w:sz="8" w:space="0"/>
            </w:tcBorders>
            <w:vAlign w:val="center"/>
          </w:tcPr>
          <w:p>
            <w:pPr>
              <w:rPr>
                <w:rFonts w:ascii="宋体" w:hAnsi="宋体"/>
                <w:b/>
                <w:kern w:val="2"/>
                <w:sz w:val="21"/>
              </w:rPr>
            </w:pPr>
          </w:p>
        </w:tc>
        <w:tc>
          <w:tcPr>
            <w:tcW w:w="708" w:type="dxa"/>
            <w:vMerge w:val="restart"/>
            <w:tcBorders>
              <w:top w:val="nil"/>
              <w:left w:val="nil"/>
              <w:bottom w:val="nil"/>
              <w:right w:val="single" w:color="auto" w:sz="8" w:space="0"/>
            </w:tcBorders>
            <w:vAlign w:val="bottom"/>
          </w:tcPr>
          <w:p>
            <w:pPr>
              <w:spacing w:line="240" w:lineRule="exact"/>
              <w:ind w:right="154"/>
              <w:jc w:val="right"/>
              <w:rPr>
                <w:rFonts w:ascii="宋体" w:hAnsi="宋体"/>
                <w:b/>
                <w:kern w:val="2"/>
                <w:sz w:val="21"/>
              </w:rPr>
            </w:pPr>
            <w:r>
              <w:rPr>
                <w:rFonts w:hint="eastAsia" w:ascii="宋体" w:hAnsi="宋体"/>
                <w:b/>
                <w:kern w:val="2"/>
                <w:sz w:val="21"/>
              </w:rPr>
              <w:t>合计</w:t>
            </w:r>
          </w:p>
        </w:tc>
        <w:tc>
          <w:tcPr>
            <w:tcW w:w="850" w:type="dxa"/>
            <w:vMerge w:val="restart"/>
            <w:tcBorders>
              <w:top w:val="nil"/>
              <w:left w:val="nil"/>
              <w:bottom w:val="nil"/>
              <w:right w:val="single" w:color="auto" w:sz="8" w:space="0"/>
            </w:tcBorders>
            <w:vAlign w:val="bottom"/>
          </w:tcPr>
          <w:p>
            <w:pPr>
              <w:spacing w:line="240" w:lineRule="exact"/>
              <w:jc w:val="center"/>
              <w:rPr>
                <w:rFonts w:ascii="宋体" w:hAnsi="宋体"/>
                <w:b/>
                <w:kern w:val="2"/>
                <w:sz w:val="21"/>
              </w:rPr>
            </w:pPr>
            <w:r>
              <w:rPr>
                <w:rFonts w:hint="eastAsia" w:ascii="宋体" w:hAnsi="宋体"/>
                <w:b/>
                <w:kern w:val="2"/>
                <w:sz w:val="21"/>
              </w:rPr>
              <w:t>共预算</w:t>
            </w:r>
          </w:p>
        </w:tc>
        <w:tc>
          <w:tcPr>
            <w:tcW w:w="885" w:type="dxa"/>
            <w:vMerge w:val="continue"/>
            <w:tcBorders>
              <w:top w:val="nil"/>
              <w:left w:val="nil"/>
              <w:bottom w:val="nil"/>
              <w:right w:val="single" w:color="auto" w:sz="8" w:space="0"/>
            </w:tcBorders>
            <w:vAlign w:val="center"/>
          </w:tcPr>
          <w:p>
            <w:pPr>
              <w:rPr>
                <w:rFonts w:ascii="宋体" w:hAnsi="宋体"/>
                <w:b/>
                <w:kern w:val="2"/>
                <w:sz w:val="21"/>
              </w:rPr>
            </w:pPr>
          </w:p>
        </w:tc>
        <w:tc>
          <w:tcPr>
            <w:tcW w:w="855" w:type="dxa"/>
            <w:vMerge w:val="continue"/>
            <w:tcBorders>
              <w:top w:val="nil"/>
              <w:left w:val="nil"/>
              <w:bottom w:val="nil"/>
              <w:right w:val="single" w:color="auto" w:sz="8" w:space="0"/>
            </w:tcBorders>
            <w:vAlign w:val="center"/>
          </w:tcPr>
          <w:p>
            <w:pPr>
              <w:rPr>
                <w:rFonts w:ascii="宋体" w:hAnsi="宋体"/>
                <w:b/>
                <w:kern w:val="2"/>
                <w:sz w:val="21"/>
              </w:rPr>
            </w:pPr>
          </w:p>
        </w:tc>
        <w:tc>
          <w:tcPr>
            <w:tcW w:w="825" w:type="dxa"/>
            <w:vMerge w:val="continue"/>
            <w:tcBorders>
              <w:top w:val="nil"/>
              <w:left w:val="nil"/>
              <w:bottom w:val="nil"/>
              <w:right w:val="single" w:color="auto" w:sz="8" w:space="0"/>
            </w:tcBorders>
            <w:vAlign w:val="center"/>
          </w:tcPr>
          <w:p>
            <w:pPr>
              <w:rPr>
                <w:rFonts w:ascii="宋体" w:hAnsi="宋体"/>
                <w:b/>
                <w:kern w:val="2"/>
                <w:sz w:val="21"/>
              </w:rPr>
            </w:pPr>
          </w:p>
        </w:tc>
        <w:tc>
          <w:tcPr>
            <w:tcW w:w="1800" w:type="dxa"/>
            <w:vMerge w:val="restart"/>
            <w:tcBorders>
              <w:top w:val="nil"/>
              <w:left w:val="nil"/>
              <w:bottom w:val="nil"/>
              <w:right w:val="single" w:color="auto" w:sz="8" w:space="0"/>
            </w:tcBorders>
            <w:vAlign w:val="bottom"/>
          </w:tcPr>
          <w:p>
            <w:pPr>
              <w:spacing w:line="240" w:lineRule="exact"/>
              <w:ind w:right="34"/>
              <w:jc w:val="right"/>
              <w:rPr>
                <w:rFonts w:ascii="宋体" w:hAnsi="宋体"/>
                <w:b/>
                <w:kern w:val="2"/>
                <w:sz w:val="21"/>
              </w:rPr>
            </w:pPr>
            <w:r>
              <w:rPr>
                <w:rFonts w:hint="eastAsia" w:ascii="宋体" w:hAnsi="宋体"/>
                <w:b/>
                <w:kern w:val="2"/>
                <w:sz w:val="21"/>
              </w:rPr>
              <w:t>道资金</w:t>
            </w: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nil"/>
              <w:right w:val="single" w:color="auto" w:sz="8" w:space="0"/>
            </w:tcBorders>
            <w:vAlign w:val="bottom"/>
          </w:tcPr>
          <w:p>
            <w:pPr>
              <w:spacing w:line="0" w:lineRule="atLeast"/>
              <w:rPr>
                <w:rFonts w:ascii="Times New Roman" w:hAnsi="Times New Roman" w:eastAsia="Times New Roman"/>
                <w:kern w:val="2"/>
                <w:sz w:val="12"/>
              </w:rPr>
            </w:pPr>
          </w:p>
        </w:tc>
        <w:tc>
          <w:tcPr>
            <w:tcW w:w="708"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1134" w:type="dxa"/>
            <w:gridSpan w:val="3"/>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1276"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1134"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709"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567"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709"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708" w:type="dxa"/>
            <w:vMerge w:val="continue"/>
            <w:tcBorders>
              <w:top w:val="nil"/>
              <w:left w:val="nil"/>
              <w:bottom w:val="nil"/>
              <w:right w:val="single" w:color="auto" w:sz="8" w:space="0"/>
            </w:tcBorders>
            <w:vAlign w:val="center"/>
          </w:tcPr>
          <w:p>
            <w:pPr>
              <w:rPr>
                <w:rFonts w:ascii="宋体" w:hAnsi="宋体"/>
                <w:b/>
                <w:kern w:val="2"/>
                <w:sz w:val="21"/>
              </w:rPr>
            </w:pPr>
          </w:p>
        </w:tc>
        <w:tc>
          <w:tcPr>
            <w:tcW w:w="850" w:type="dxa"/>
            <w:vMerge w:val="continue"/>
            <w:tcBorders>
              <w:top w:val="nil"/>
              <w:left w:val="nil"/>
              <w:bottom w:val="nil"/>
              <w:right w:val="single" w:color="auto" w:sz="8" w:space="0"/>
            </w:tcBorders>
            <w:vAlign w:val="center"/>
          </w:tcPr>
          <w:p>
            <w:pPr>
              <w:rPr>
                <w:rFonts w:ascii="宋体" w:hAnsi="宋体"/>
                <w:b/>
                <w:kern w:val="2"/>
                <w:sz w:val="21"/>
              </w:rPr>
            </w:pPr>
          </w:p>
        </w:tc>
        <w:tc>
          <w:tcPr>
            <w:tcW w:w="885" w:type="dxa"/>
            <w:vMerge w:val="restart"/>
            <w:tcBorders>
              <w:top w:val="nil"/>
              <w:left w:val="nil"/>
              <w:bottom w:val="nil"/>
              <w:right w:val="single" w:color="auto" w:sz="8" w:space="0"/>
            </w:tcBorders>
            <w:vAlign w:val="bottom"/>
          </w:tcPr>
          <w:p>
            <w:pPr>
              <w:spacing w:line="240" w:lineRule="exact"/>
              <w:jc w:val="center"/>
              <w:rPr>
                <w:rFonts w:ascii="宋体" w:hAnsi="宋体"/>
                <w:b/>
                <w:kern w:val="2"/>
                <w:sz w:val="21"/>
              </w:rPr>
            </w:pPr>
            <w:r>
              <w:rPr>
                <w:rFonts w:hint="eastAsia" w:ascii="宋体" w:hAnsi="宋体"/>
                <w:b/>
                <w:kern w:val="2"/>
                <w:sz w:val="21"/>
              </w:rPr>
              <w:t>算拨款</w:t>
            </w:r>
          </w:p>
        </w:tc>
        <w:tc>
          <w:tcPr>
            <w:tcW w:w="855" w:type="dxa"/>
            <w:vMerge w:val="restart"/>
            <w:tcBorders>
              <w:top w:val="nil"/>
              <w:left w:val="nil"/>
              <w:bottom w:val="nil"/>
              <w:right w:val="single" w:color="auto" w:sz="8" w:space="0"/>
            </w:tcBorders>
            <w:vAlign w:val="bottom"/>
          </w:tcPr>
          <w:p>
            <w:pPr>
              <w:spacing w:line="240" w:lineRule="exact"/>
              <w:ind w:left="140"/>
              <w:rPr>
                <w:rFonts w:ascii="宋体" w:hAnsi="宋体"/>
                <w:b/>
                <w:kern w:val="2"/>
                <w:sz w:val="21"/>
              </w:rPr>
            </w:pPr>
            <w:r>
              <w:rPr>
                <w:rFonts w:hint="eastAsia" w:ascii="宋体" w:hAnsi="宋体"/>
                <w:b/>
                <w:kern w:val="2"/>
                <w:sz w:val="21"/>
              </w:rPr>
              <w:t>户核拨</w:t>
            </w:r>
          </w:p>
        </w:tc>
        <w:tc>
          <w:tcPr>
            <w:tcW w:w="825" w:type="dxa"/>
            <w:vMerge w:val="restart"/>
            <w:tcBorders>
              <w:top w:val="nil"/>
              <w:left w:val="nil"/>
              <w:bottom w:val="nil"/>
              <w:right w:val="single" w:color="auto" w:sz="8" w:space="0"/>
            </w:tcBorders>
            <w:vAlign w:val="bottom"/>
          </w:tcPr>
          <w:p>
            <w:pPr>
              <w:spacing w:line="240" w:lineRule="exact"/>
              <w:ind w:right="51"/>
              <w:jc w:val="right"/>
              <w:rPr>
                <w:rFonts w:ascii="宋体" w:hAnsi="宋体"/>
                <w:b/>
                <w:kern w:val="2"/>
                <w:sz w:val="21"/>
              </w:rPr>
            </w:pPr>
            <w:r>
              <w:rPr>
                <w:rFonts w:hint="eastAsia" w:ascii="宋体" w:hAnsi="宋体"/>
                <w:b/>
                <w:kern w:val="2"/>
                <w:sz w:val="21"/>
              </w:rPr>
              <w:t>源收入</w:t>
            </w:r>
          </w:p>
        </w:tc>
        <w:tc>
          <w:tcPr>
            <w:tcW w:w="1800" w:type="dxa"/>
            <w:vMerge w:val="continue"/>
            <w:tcBorders>
              <w:top w:val="nil"/>
              <w:left w:val="nil"/>
              <w:bottom w:val="nil"/>
              <w:right w:val="single" w:color="auto" w:sz="8" w:space="0"/>
            </w:tcBorders>
            <w:vAlign w:val="center"/>
          </w:tcPr>
          <w:p>
            <w:pPr>
              <w:rPr>
                <w:rFonts w:ascii="宋体" w:hAnsi="宋体"/>
                <w:b/>
                <w:kern w:val="2"/>
                <w:sz w:val="21"/>
              </w:rPr>
            </w:pPr>
          </w:p>
        </w:tc>
      </w:tr>
      <w:tr>
        <w:tblPrEx>
          <w:tblLayout w:type="fixed"/>
          <w:tblCellMar>
            <w:top w:w="0" w:type="dxa"/>
            <w:left w:w="0" w:type="dxa"/>
            <w:bottom w:w="0" w:type="dxa"/>
            <w:right w:w="0" w:type="dxa"/>
          </w:tblCellMar>
        </w:tblPrEx>
        <w:trPr>
          <w:gridAfter w:val="1"/>
          <w:wAfter w:w="433" w:type="dxa"/>
          <w:trHeight w:val="151" w:hRule="atLeast"/>
          <w:jc w:val="center"/>
        </w:trPr>
        <w:tc>
          <w:tcPr>
            <w:tcW w:w="2127" w:type="dxa"/>
            <w:tcBorders>
              <w:top w:val="nil"/>
              <w:left w:val="single" w:color="auto" w:sz="8" w:space="0"/>
              <w:bottom w:val="nil"/>
              <w:right w:val="single" w:color="auto" w:sz="8" w:space="0"/>
            </w:tcBorders>
            <w:vAlign w:val="bottom"/>
          </w:tcPr>
          <w:p>
            <w:pPr>
              <w:spacing w:line="0" w:lineRule="atLeast"/>
              <w:rPr>
                <w:rFonts w:ascii="Times New Roman" w:hAnsi="Times New Roman" w:eastAsia="Times New Roman"/>
                <w:kern w:val="2"/>
                <w:sz w:val="13"/>
              </w:rPr>
            </w:pPr>
          </w:p>
        </w:tc>
        <w:tc>
          <w:tcPr>
            <w:tcW w:w="708"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1134" w:type="dxa"/>
            <w:gridSpan w:val="3"/>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1276"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1134"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709"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567"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709"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708"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850" w:type="dxa"/>
            <w:vMerge w:val="restart"/>
            <w:tcBorders>
              <w:top w:val="nil"/>
              <w:left w:val="nil"/>
              <w:bottom w:val="single" w:color="auto" w:sz="8" w:space="0"/>
              <w:right w:val="single" w:color="auto" w:sz="8" w:space="0"/>
            </w:tcBorders>
            <w:vAlign w:val="bottom"/>
          </w:tcPr>
          <w:p>
            <w:pPr>
              <w:spacing w:line="240" w:lineRule="exact"/>
              <w:jc w:val="center"/>
              <w:rPr>
                <w:rFonts w:ascii="宋体" w:hAnsi="宋体"/>
                <w:b/>
                <w:w w:val="99"/>
                <w:kern w:val="2"/>
                <w:sz w:val="21"/>
              </w:rPr>
            </w:pPr>
            <w:r>
              <w:rPr>
                <w:rFonts w:hint="eastAsia" w:ascii="宋体" w:hAnsi="宋体"/>
                <w:b/>
                <w:w w:val="99"/>
                <w:kern w:val="2"/>
                <w:sz w:val="21"/>
              </w:rPr>
              <w:t>拨款</w:t>
            </w:r>
          </w:p>
        </w:tc>
        <w:tc>
          <w:tcPr>
            <w:tcW w:w="885" w:type="dxa"/>
            <w:vMerge w:val="continue"/>
            <w:tcBorders>
              <w:top w:val="nil"/>
              <w:left w:val="nil"/>
              <w:bottom w:val="nil"/>
              <w:right w:val="single" w:color="auto" w:sz="8" w:space="0"/>
            </w:tcBorders>
            <w:vAlign w:val="center"/>
          </w:tcPr>
          <w:p>
            <w:pPr>
              <w:rPr>
                <w:rFonts w:ascii="宋体" w:hAnsi="宋体"/>
                <w:b/>
                <w:kern w:val="2"/>
                <w:sz w:val="21"/>
              </w:rPr>
            </w:pPr>
          </w:p>
        </w:tc>
        <w:tc>
          <w:tcPr>
            <w:tcW w:w="855" w:type="dxa"/>
            <w:vMerge w:val="continue"/>
            <w:tcBorders>
              <w:top w:val="nil"/>
              <w:left w:val="nil"/>
              <w:bottom w:val="nil"/>
              <w:right w:val="single" w:color="auto" w:sz="8" w:space="0"/>
            </w:tcBorders>
            <w:vAlign w:val="center"/>
          </w:tcPr>
          <w:p>
            <w:pPr>
              <w:rPr>
                <w:rFonts w:ascii="宋体" w:hAnsi="宋体"/>
                <w:b/>
                <w:kern w:val="2"/>
                <w:sz w:val="21"/>
              </w:rPr>
            </w:pPr>
          </w:p>
        </w:tc>
        <w:tc>
          <w:tcPr>
            <w:tcW w:w="825" w:type="dxa"/>
            <w:vMerge w:val="continue"/>
            <w:tcBorders>
              <w:top w:val="nil"/>
              <w:left w:val="nil"/>
              <w:bottom w:val="nil"/>
              <w:right w:val="single" w:color="auto" w:sz="8" w:space="0"/>
            </w:tcBorders>
            <w:vAlign w:val="center"/>
          </w:tcPr>
          <w:p>
            <w:pPr>
              <w:rPr>
                <w:rFonts w:ascii="宋体" w:hAnsi="宋体"/>
                <w:b/>
                <w:kern w:val="2"/>
                <w:sz w:val="21"/>
              </w:rPr>
            </w:pPr>
          </w:p>
        </w:tc>
        <w:tc>
          <w:tcPr>
            <w:tcW w:w="1800"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r>
      <w:tr>
        <w:tblPrEx>
          <w:tblLayout w:type="fixed"/>
          <w:tblCellMar>
            <w:top w:w="0" w:type="dxa"/>
            <w:left w:w="0" w:type="dxa"/>
            <w:bottom w:w="0" w:type="dxa"/>
            <w:right w:w="0" w:type="dxa"/>
          </w:tblCellMar>
        </w:tblPrEx>
        <w:trPr>
          <w:gridAfter w:val="1"/>
          <w:wAfter w:w="433" w:type="dxa"/>
          <w:trHeight w:val="60"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134" w:type="dxa"/>
            <w:gridSpan w:val="3"/>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134"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567"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50" w:type="dxa"/>
            <w:vMerge w:val="continue"/>
            <w:tcBorders>
              <w:top w:val="nil"/>
              <w:left w:val="nil"/>
              <w:bottom w:val="single" w:color="auto" w:sz="8" w:space="0"/>
              <w:right w:val="single" w:color="auto" w:sz="8" w:space="0"/>
            </w:tcBorders>
            <w:vAlign w:val="center"/>
          </w:tcPr>
          <w:p>
            <w:pPr>
              <w:rPr>
                <w:rFonts w:ascii="宋体" w:hAnsi="宋体"/>
                <w:b/>
                <w:w w:val="99"/>
                <w:kern w:val="2"/>
                <w:sz w:val="21"/>
              </w:rPr>
            </w:pPr>
          </w:p>
        </w:tc>
        <w:tc>
          <w:tcPr>
            <w:tcW w:w="88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294" w:hRule="atLeast"/>
          <w:jc w:val="center"/>
        </w:trPr>
        <w:tc>
          <w:tcPr>
            <w:tcW w:w="2127" w:type="dxa"/>
            <w:tcBorders>
              <w:top w:val="nil"/>
              <w:left w:val="single" w:color="auto" w:sz="8" w:space="0"/>
              <w:bottom w:val="single" w:color="auto" w:sz="8" w:space="0"/>
              <w:right w:val="single" w:color="auto" w:sz="8" w:space="0"/>
            </w:tcBorders>
            <w:vAlign w:val="bottom"/>
          </w:tcPr>
          <w:p>
            <w:pPr>
              <w:spacing w:line="240" w:lineRule="exact"/>
              <w:jc w:val="center"/>
              <w:rPr>
                <w:rFonts w:ascii="宋体" w:hAnsi="宋体"/>
                <w:b/>
                <w:kern w:val="2"/>
                <w:sz w:val="21"/>
              </w:rPr>
            </w:pPr>
            <w:r>
              <w:rPr>
                <w:rFonts w:hint="eastAsia" w:ascii="宋体" w:hAnsi="宋体"/>
                <w:b/>
                <w:kern w:val="2"/>
                <w:sz w:val="21"/>
              </w:rPr>
              <w:t>合  计</w:t>
            </w: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rPr>
            </w:pPr>
          </w:p>
        </w:tc>
        <w:tc>
          <w:tcPr>
            <w:tcW w:w="1134" w:type="dxa"/>
            <w:gridSpan w:val="3"/>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rPr>
            </w:pP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rPr>
            </w:pPr>
          </w:p>
        </w:tc>
        <w:tc>
          <w:tcPr>
            <w:tcW w:w="1134"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rPr>
            </w:pP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rPr>
            </w:pPr>
          </w:p>
        </w:tc>
        <w:tc>
          <w:tcPr>
            <w:tcW w:w="567"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rPr>
            </w:pPr>
          </w:p>
        </w:tc>
        <w:tc>
          <w:tcPr>
            <w:tcW w:w="709" w:type="dxa"/>
            <w:tcBorders>
              <w:top w:val="nil"/>
              <w:left w:val="nil"/>
              <w:bottom w:val="single" w:color="auto" w:sz="8" w:space="0"/>
              <w:right w:val="single" w:color="auto" w:sz="8" w:space="0"/>
            </w:tcBorders>
            <w:vAlign w:val="bottom"/>
          </w:tcPr>
          <w:p>
            <w:pPr>
              <w:spacing w:line="0" w:lineRule="atLeast"/>
              <w:ind w:right="14"/>
              <w:jc w:val="right"/>
              <w:rPr>
                <w:rFonts w:ascii="Arial" w:hAnsi="Arial" w:eastAsia="Arial"/>
                <w:b/>
                <w:kern w:val="2"/>
                <w:sz w:val="21"/>
              </w:rPr>
            </w:pPr>
            <w:r>
              <w:rPr>
                <w:rFonts w:hint="eastAsia" w:ascii="Arial" w:hAnsi="Arial" w:eastAsiaTheme="minorEastAsia"/>
                <w:b/>
                <w:kern w:val="2"/>
                <w:sz w:val="21"/>
              </w:rPr>
              <w:t>848.9</w:t>
            </w:r>
          </w:p>
        </w:tc>
        <w:tc>
          <w:tcPr>
            <w:tcW w:w="708" w:type="dxa"/>
            <w:tcBorders>
              <w:top w:val="nil"/>
              <w:left w:val="nil"/>
              <w:bottom w:val="single" w:color="auto" w:sz="8" w:space="0"/>
              <w:right w:val="single" w:color="auto" w:sz="8" w:space="0"/>
            </w:tcBorders>
            <w:vAlign w:val="bottom"/>
          </w:tcPr>
          <w:p>
            <w:pPr>
              <w:spacing w:line="0" w:lineRule="atLeast"/>
              <w:ind w:right="14"/>
              <w:jc w:val="right"/>
              <w:rPr>
                <w:rFonts w:ascii="Arial" w:hAnsi="Arial" w:eastAsia="Arial"/>
                <w:b/>
                <w:kern w:val="2"/>
                <w:sz w:val="21"/>
              </w:rPr>
            </w:pPr>
            <w:r>
              <w:rPr>
                <w:rFonts w:hint="eastAsia" w:ascii="Arial" w:hAnsi="Arial" w:eastAsiaTheme="minorEastAsia"/>
                <w:b/>
                <w:kern w:val="2"/>
                <w:sz w:val="21"/>
              </w:rPr>
              <w:t>848.9</w:t>
            </w:r>
          </w:p>
        </w:tc>
        <w:tc>
          <w:tcPr>
            <w:tcW w:w="850" w:type="dxa"/>
            <w:tcBorders>
              <w:top w:val="nil"/>
              <w:left w:val="nil"/>
              <w:bottom w:val="single" w:color="auto" w:sz="8" w:space="0"/>
              <w:right w:val="single" w:color="auto" w:sz="8" w:space="0"/>
            </w:tcBorders>
            <w:vAlign w:val="bottom"/>
          </w:tcPr>
          <w:p>
            <w:pPr>
              <w:spacing w:line="0" w:lineRule="atLeast"/>
              <w:ind w:right="14"/>
              <w:jc w:val="right"/>
              <w:rPr>
                <w:rFonts w:ascii="Arial" w:hAnsi="Arial" w:eastAsia="Arial"/>
                <w:b/>
                <w:kern w:val="2"/>
                <w:sz w:val="21"/>
              </w:rPr>
            </w:pPr>
            <w:r>
              <w:rPr>
                <w:rFonts w:hint="eastAsia" w:ascii="Arial" w:hAnsi="Arial" w:eastAsiaTheme="minorEastAsia"/>
                <w:b/>
                <w:kern w:val="2"/>
                <w:sz w:val="21"/>
              </w:rPr>
              <w:t>848.9</w:t>
            </w:r>
          </w:p>
        </w:tc>
        <w:tc>
          <w:tcPr>
            <w:tcW w:w="88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rPr>
            </w:pPr>
          </w:p>
        </w:tc>
        <w:tc>
          <w:tcPr>
            <w:tcW w:w="825" w:type="dxa"/>
            <w:tcBorders>
              <w:top w:val="nil"/>
              <w:left w:val="nil"/>
              <w:bottom w:val="single" w:color="auto" w:sz="8" w:space="0"/>
              <w:right w:val="single" w:color="auto" w:sz="8" w:space="0"/>
            </w:tcBorders>
            <w:vAlign w:val="bottom"/>
          </w:tcPr>
          <w:p>
            <w:pPr>
              <w:spacing w:line="0" w:lineRule="atLeast"/>
              <w:ind w:right="11"/>
              <w:jc w:val="right"/>
              <w:rPr>
                <w:rFonts w:ascii="Arial" w:hAnsi="Arial" w:eastAsia="Arial"/>
                <w:b/>
                <w:kern w:val="2"/>
                <w:sz w:val="21"/>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rPr>
            </w:pPr>
          </w:p>
        </w:tc>
      </w:tr>
      <w:tr>
        <w:tblPrEx>
          <w:tblLayout w:type="fixed"/>
          <w:tblCellMar>
            <w:top w:w="0" w:type="dxa"/>
            <w:left w:w="0" w:type="dxa"/>
            <w:bottom w:w="0" w:type="dxa"/>
            <w:right w:w="0" w:type="dxa"/>
          </w:tblCellMar>
        </w:tblPrEx>
        <w:trPr>
          <w:gridAfter w:val="1"/>
          <w:wAfter w:w="433" w:type="dxa"/>
          <w:trHeight w:val="297" w:hRule="atLeast"/>
          <w:jc w:val="center"/>
        </w:trPr>
        <w:tc>
          <w:tcPr>
            <w:tcW w:w="2127" w:type="dxa"/>
            <w:tcBorders>
              <w:top w:val="nil"/>
              <w:left w:val="single" w:color="auto" w:sz="8" w:space="0"/>
              <w:bottom w:val="nil"/>
              <w:right w:val="single" w:color="auto" w:sz="8" w:space="0"/>
            </w:tcBorders>
            <w:vAlign w:val="bottom"/>
          </w:tcPr>
          <w:p>
            <w:pPr>
              <w:spacing w:line="240" w:lineRule="exact"/>
              <w:jc w:val="center"/>
              <w:rPr>
                <w:rFonts w:ascii="宋体" w:hAnsi="宋体"/>
                <w:b/>
                <w:kern w:val="2"/>
                <w:sz w:val="21"/>
              </w:rPr>
            </w:pPr>
            <w:r>
              <w:rPr>
                <w:rFonts w:hint="eastAsia" w:ascii="宋体" w:hAnsi="宋体"/>
                <w:b/>
                <w:kern w:val="2"/>
                <w:sz w:val="21"/>
              </w:rPr>
              <w:t>西柏坡纪念馆</w:t>
            </w:r>
          </w:p>
        </w:tc>
        <w:tc>
          <w:tcPr>
            <w:tcW w:w="708"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1134" w:type="dxa"/>
            <w:gridSpan w:val="3"/>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1276"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1134"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709"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567"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709"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b/>
                <w:kern w:val="2"/>
                <w:sz w:val="21"/>
              </w:rPr>
            </w:pPr>
            <w:r>
              <w:rPr>
                <w:rFonts w:hint="eastAsia" w:ascii="Arial" w:hAnsi="Arial" w:eastAsiaTheme="minorEastAsia"/>
                <w:b/>
                <w:kern w:val="2"/>
                <w:sz w:val="21"/>
              </w:rPr>
              <w:t>848.9</w:t>
            </w:r>
          </w:p>
        </w:tc>
        <w:tc>
          <w:tcPr>
            <w:tcW w:w="708" w:type="dxa"/>
            <w:vMerge w:val="restart"/>
            <w:tcBorders>
              <w:top w:val="nil"/>
              <w:left w:val="nil"/>
              <w:bottom w:val="nil"/>
              <w:right w:val="single" w:color="auto" w:sz="8" w:space="0"/>
            </w:tcBorders>
            <w:vAlign w:val="bottom"/>
          </w:tcPr>
          <w:p>
            <w:pPr>
              <w:spacing w:line="0" w:lineRule="atLeast"/>
              <w:ind w:right="14"/>
              <w:jc w:val="right"/>
              <w:rPr>
                <w:rFonts w:ascii="Arial" w:hAnsi="Arial" w:eastAsia="Arial"/>
                <w:b/>
                <w:kern w:val="2"/>
                <w:sz w:val="21"/>
              </w:rPr>
            </w:pPr>
            <w:r>
              <w:rPr>
                <w:rFonts w:hint="eastAsia" w:ascii="Arial" w:hAnsi="Arial" w:eastAsiaTheme="minorEastAsia"/>
                <w:b/>
                <w:kern w:val="2"/>
                <w:sz w:val="21"/>
              </w:rPr>
              <w:t>848.9</w:t>
            </w:r>
          </w:p>
        </w:tc>
        <w:tc>
          <w:tcPr>
            <w:tcW w:w="850" w:type="dxa"/>
            <w:vMerge w:val="restart"/>
            <w:tcBorders>
              <w:top w:val="nil"/>
              <w:left w:val="nil"/>
              <w:bottom w:val="nil"/>
              <w:right w:val="single" w:color="auto" w:sz="8" w:space="0"/>
            </w:tcBorders>
            <w:vAlign w:val="bottom"/>
          </w:tcPr>
          <w:p>
            <w:pPr>
              <w:spacing w:line="0" w:lineRule="atLeast"/>
              <w:ind w:right="14"/>
              <w:jc w:val="right"/>
              <w:rPr>
                <w:rFonts w:ascii="Arial" w:hAnsi="Arial" w:eastAsia="Arial"/>
                <w:b/>
                <w:kern w:val="2"/>
                <w:sz w:val="21"/>
              </w:rPr>
            </w:pPr>
            <w:r>
              <w:rPr>
                <w:rFonts w:hint="eastAsia" w:ascii="Arial" w:hAnsi="Arial" w:eastAsiaTheme="minorEastAsia"/>
                <w:b/>
                <w:kern w:val="2"/>
                <w:sz w:val="21"/>
              </w:rPr>
              <w:t>848.9</w:t>
            </w:r>
          </w:p>
        </w:tc>
        <w:tc>
          <w:tcPr>
            <w:tcW w:w="88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85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82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1800"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vMerge w:val="restart"/>
            <w:tcBorders>
              <w:top w:val="nil"/>
              <w:left w:val="single" w:color="auto" w:sz="8" w:space="0"/>
              <w:bottom w:val="single" w:color="auto" w:sz="8" w:space="0"/>
              <w:right w:val="single" w:color="auto" w:sz="8" w:space="0"/>
            </w:tcBorders>
            <w:vAlign w:val="bottom"/>
          </w:tcPr>
          <w:p>
            <w:pPr>
              <w:spacing w:line="240" w:lineRule="exact"/>
              <w:jc w:val="center"/>
              <w:rPr>
                <w:rFonts w:ascii="宋体" w:hAnsi="宋体"/>
                <w:b/>
                <w:kern w:val="2"/>
                <w:sz w:val="21"/>
              </w:rPr>
            </w:pPr>
            <w:r>
              <w:rPr>
                <w:rFonts w:hint="eastAsia" w:ascii="宋体" w:hAnsi="宋体"/>
                <w:b/>
                <w:kern w:val="2"/>
                <w:sz w:val="21"/>
              </w:rPr>
              <w:t>小计</w:t>
            </w:r>
          </w:p>
        </w:tc>
        <w:tc>
          <w:tcPr>
            <w:tcW w:w="708"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1134" w:type="dxa"/>
            <w:gridSpan w:val="3"/>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1276"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1134"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709"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567"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709" w:type="dxa"/>
            <w:vMerge w:val="continue"/>
            <w:tcBorders>
              <w:top w:val="nil"/>
              <w:left w:val="nil"/>
              <w:bottom w:val="nil"/>
              <w:right w:val="single" w:color="auto" w:sz="8" w:space="0"/>
            </w:tcBorders>
            <w:vAlign w:val="center"/>
          </w:tcPr>
          <w:p>
            <w:pPr>
              <w:rPr>
                <w:rFonts w:ascii="Arial" w:hAnsi="Arial" w:eastAsia="Arial"/>
                <w:b/>
                <w:kern w:val="2"/>
                <w:sz w:val="21"/>
              </w:rPr>
            </w:pPr>
          </w:p>
        </w:tc>
        <w:tc>
          <w:tcPr>
            <w:tcW w:w="708" w:type="dxa"/>
            <w:vMerge w:val="continue"/>
            <w:tcBorders>
              <w:top w:val="nil"/>
              <w:left w:val="nil"/>
              <w:bottom w:val="nil"/>
              <w:right w:val="single" w:color="auto" w:sz="8" w:space="0"/>
            </w:tcBorders>
            <w:vAlign w:val="center"/>
          </w:tcPr>
          <w:p>
            <w:pPr>
              <w:rPr>
                <w:rFonts w:ascii="Arial" w:hAnsi="Arial" w:eastAsia="Arial"/>
                <w:b/>
                <w:kern w:val="2"/>
                <w:sz w:val="21"/>
              </w:rPr>
            </w:pPr>
          </w:p>
        </w:tc>
        <w:tc>
          <w:tcPr>
            <w:tcW w:w="850" w:type="dxa"/>
            <w:vMerge w:val="continue"/>
            <w:tcBorders>
              <w:top w:val="nil"/>
              <w:left w:val="nil"/>
              <w:bottom w:val="nil"/>
              <w:right w:val="single" w:color="auto" w:sz="8" w:space="0"/>
            </w:tcBorders>
            <w:vAlign w:val="center"/>
          </w:tcPr>
          <w:p>
            <w:pPr>
              <w:rPr>
                <w:rFonts w:ascii="Arial" w:hAnsi="Arial" w:eastAsia="Arial"/>
                <w:b/>
                <w:kern w:val="2"/>
                <w:sz w:val="21"/>
              </w:rPr>
            </w:pPr>
          </w:p>
        </w:tc>
        <w:tc>
          <w:tcPr>
            <w:tcW w:w="88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85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51" w:hRule="atLeast"/>
          <w:jc w:val="center"/>
        </w:trPr>
        <w:tc>
          <w:tcPr>
            <w:tcW w:w="2127" w:type="dxa"/>
            <w:vMerge w:val="continue"/>
            <w:tcBorders>
              <w:top w:val="nil"/>
              <w:left w:val="single" w:color="auto" w:sz="8" w:space="0"/>
              <w:bottom w:val="single" w:color="auto" w:sz="8" w:space="0"/>
              <w:right w:val="single" w:color="auto" w:sz="8" w:space="0"/>
            </w:tcBorders>
            <w:vAlign w:val="center"/>
          </w:tcPr>
          <w:p>
            <w:pPr>
              <w:rPr>
                <w:rFonts w:ascii="宋体" w:hAnsi="宋体"/>
                <w:b/>
                <w:kern w:val="2"/>
                <w:sz w:val="21"/>
              </w:rPr>
            </w:pP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1134" w:type="dxa"/>
            <w:gridSpan w:val="3"/>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1134"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567"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88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r>
      <w:tr>
        <w:tblPrEx>
          <w:tblLayout w:type="fixed"/>
          <w:tblCellMar>
            <w:top w:w="0" w:type="dxa"/>
            <w:left w:w="0" w:type="dxa"/>
            <w:bottom w:w="0" w:type="dxa"/>
            <w:right w:w="0" w:type="dxa"/>
          </w:tblCellMar>
        </w:tblPrEx>
        <w:trPr>
          <w:gridAfter w:val="1"/>
          <w:wAfter w:w="433" w:type="dxa"/>
          <w:trHeight w:val="294" w:hRule="atLeast"/>
          <w:jc w:val="center"/>
        </w:trPr>
        <w:tc>
          <w:tcPr>
            <w:tcW w:w="2127" w:type="dxa"/>
            <w:vMerge w:val="restart"/>
            <w:tcBorders>
              <w:top w:val="nil"/>
              <w:left w:val="single" w:color="auto" w:sz="8" w:space="0"/>
              <w:bottom w:val="nil"/>
              <w:right w:val="single" w:color="auto" w:sz="8" w:space="0"/>
            </w:tcBorders>
            <w:vAlign w:val="bottom"/>
          </w:tcPr>
          <w:p>
            <w:pPr>
              <w:spacing w:line="240" w:lineRule="exact"/>
              <w:ind w:left="120"/>
              <w:rPr>
                <w:rFonts w:ascii="宋体" w:hAnsi="宋体"/>
                <w:kern w:val="2"/>
                <w:sz w:val="21"/>
              </w:rPr>
            </w:pPr>
            <w:r>
              <w:rPr>
                <w:rFonts w:hint="eastAsia" w:ascii="宋体" w:hAnsi="宋体"/>
                <w:kern w:val="2"/>
                <w:sz w:val="21"/>
              </w:rPr>
              <w:t>宣传费</w:t>
            </w:r>
          </w:p>
        </w:tc>
        <w:tc>
          <w:tcPr>
            <w:tcW w:w="708"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35</w:t>
            </w:r>
          </w:p>
        </w:tc>
        <w:tc>
          <w:tcPr>
            <w:tcW w:w="1134" w:type="dxa"/>
            <w:gridSpan w:val="3"/>
            <w:tcBorders>
              <w:top w:val="nil"/>
              <w:left w:val="nil"/>
              <w:bottom w:val="nil"/>
              <w:right w:val="single" w:color="auto" w:sz="8" w:space="0"/>
            </w:tcBorders>
            <w:vAlign w:val="bottom"/>
          </w:tcPr>
          <w:p>
            <w:pPr>
              <w:spacing w:line="240" w:lineRule="exact"/>
              <w:ind w:left="100"/>
              <w:rPr>
                <w:rFonts w:ascii="宋体" w:hAnsi="宋体"/>
                <w:kern w:val="2"/>
                <w:sz w:val="21"/>
              </w:rPr>
            </w:pPr>
            <w:r>
              <w:rPr>
                <w:rFonts w:hint="eastAsia" w:ascii="宋体" w:hAnsi="宋体"/>
                <w:kern w:val="2"/>
                <w:sz w:val="21"/>
              </w:rPr>
              <w:t>印刷和</w:t>
            </w:r>
          </w:p>
        </w:tc>
        <w:tc>
          <w:tcPr>
            <w:tcW w:w="1276" w:type="dxa"/>
            <w:vMerge w:val="restart"/>
            <w:tcBorders>
              <w:top w:val="nil"/>
              <w:left w:val="nil"/>
              <w:bottom w:val="nil"/>
              <w:right w:val="single" w:color="auto" w:sz="8" w:space="0"/>
            </w:tcBorders>
            <w:vAlign w:val="bottom"/>
          </w:tcPr>
          <w:p>
            <w:pPr>
              <w:spacing w:line="0" w:lineRule="atLeast"/>
              <w:ind w:left="80"/>
              <w:rPr>
                <w:rFonts w:ascii="Arial" w:hAnsi="Arial" w:eastAsia="Arial"/>
                <w:kern w:val="2"/>
                <w:sz w:val="21"/>
              </w:rPr>
            </w:pPr>
            <w:r>
              <w:rPr>
                <w:rFonts w:ascii="Arial" w:hAnsi="Arial" w:eastAsia="Arial"/>
                <w:kern w:val="2"/>
                <w:sz w:val="21"/>
              </w:rPr>
              <w:t>C0814</w:t>
            </w:r>
          </w:p>
        </w:tc>
        <w:tc>
          <w:tcPr>
            <w:tcW w:w="1134" w:type="dxa"/>
            <w:tcBorders>
              <w:top w:val="nil"/>
              <w:left w:val="nil"/>
              <w:bottom w:val="nil"/>
              <w:right w:val="single" w:color="auto" w:sz="8" w:space="0"/>
            </w:tcBorders>
            <w:vAlign w:val="bottom"/>
          </w:tcPr>
          <w:p>
            <w:pPr>
              <w:spacing w:line="0" w:lineRule="atLeast"/>
              <w:rPr>
                <w:rFonts w:hint="eastAsia" w:ascii="Times New Roman" w:hAnsi="Times New Roman" w:eastAsiaTheme="minorEastAsia"/>
                <w:kern w:val="2"/>
                <w:sz w:val="24"/>
              </w:rPr>
            </w:pPr>
            <w:r>
              <w:rPr>
                <w:rFonts w:hint="eastAsia" w:ascii="Times New Roman" w:hAnsi="Times New Roman" w:eastAsiaTheme="minorEastAsia"/>
                <w:kern w:val="2"/>
                <w:sz w:val="24"/>
              </w:rPr>
              <w:t>册</w:t>
            </w:r>
          </w:p>
        </w:tc>
        <w:tc>
          <w:tcPr>
            <w:tcW w:w="709" w:type="dxa"/>
            <w:vMerge w:val="restart"/>
            <w:tcBorders>
              <w:top w:val="nil"/>
              <w:left w:val="nil"/>
              <w:bottom w:val="nil"/>
              <w:right w:val="single" w:color="auto" w:sz="8" w:space="0"/>
            </w:tcBorders>
            <w:vAlign w:val="bottom"/>
          </w:tcPr>
          <w:p>
            <w:pPr>
              <w:spacing w:line="0" w:lineRule="atLeast"/>
              <w:ind w:right="17"/>
              <w:jc w:val="right"/>
              <w:rPr>
                <w:rFonts w:ascii="Arial" w:hAnsi="Arial" w:eastAsia="Arial"/>
                <w:kern w:val="2"/>
                <w:sz w:val="21"/>
              </w:rPr>
            </w:pPr>
            <w:r>
              <w:rPr>
                <w:rFonts w:hint="eastAsia" w:ascii="Arial" w:hAnsi="Arial" w:eastAsiaTheme="minorEastAsia"/>
                <w:kern w:val="2"/>
                <w:sz w:val="21"/>
              </w:rPr>
              <w:t>5</w:t>
            </w:r>
            <w:r>
              <w:rPr>
                <w:rFonts w:ascii="Arial" w:hAnsi="Arial" w:eastAsia="Arial"/>
                <w:kern w:val="2"/>
                <w:sz w:val="21"/>
              </w:rPr>
              <w:t>.00</w:t>
            </w:r>
          </w:p>
        </w:tc>
        <w:tc>
          <w:tcPr>
            <w:tcW w:w="567"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w w:val="97"/>
                <w:kern w:val="2"/>
                <w:sz w:val="21"/>
              </w:rPr>
            </w:pPr>
            <w:r>
              <w:rPr>
                <w:rFonts w:hint="eastAsia" w:ascii="Arial" w:hAnsi="Arial" w:eastAsiaTheme="minorEastAsia"/>
                <w:w w:val="97"/>
                <w:kern w:val="2"/>
                <w:sz w:val="21"/>
              </w:rPr>
              <w:t>5</w:t>
            </w:r>
          </w:p>
        </w:tc>
        <w:tc>
          <w:tcPr>
            <w:tcW w:w="709"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25</w:t>
            </w:r>
          </w:p>
        </w:tc>
        <w:tc>
          <w:tcPr>
            <w:tcW w:w="708"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25</w:t>
            </w:r>
          </w:p>
        </w:tc>
        <w:tc>
          <w:tcPr>
            <w:tcW w:w="850"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25</w:t>
            </w:r>
          </w:p>
        </w:tc>
        <w:tc>
          <w:tcPr>
            <w:tcW w:w="88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85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82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1800"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vMerge w:val="continue"/>
            <w:tcBorders>
              <w:top w:val="nil"/>
              <w:left w:val="single" w:color="auto" w:sz="8" w:space="0"/>
              <w:bottom w:val="nil"/>
              <w:right w:val="single" w:color="auto" w:sz="8" w:space="0"/>
            </w:tcBorders>
            <w:vAlign w:val="center"/>
          </w:tcPr>
          <w:p>
            <w:pPr>
              <w:rPr>
                <w:rFonts w:ascii="宋体" w:hAnsi="宋体"/>
                <w:kern w:val="2"/>
                <w:sz w:val="21"/>
              </w:rPr>
            </w:pPr>
          </w:p>
        </w:tc>
        <w:tc>
          <w:tcPr>
            <w:tcW w:w="708"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1134" w:type="dxa"/>
            <w:gridSpan w:val="3"/>
            <w:vMerge w:val="restart"/>
            <w:tcBorders>
              <w:top w:val="nil"/>
              <w:left w:val="nil"/>
              <w:bottom w:val="single" w:color="auto" w:sz="8" w:space="0"/>
              <w:right w:val="single" w:color="auto" w:sz="8" w:space="0"/>
            </w:tcBorders>
            <w:vAlign w:val="bottom"/>
          </w:tcPr>
          <w:p>
            <w:pPr>
              <w:spacing w:line="240" w:lineRule="exact"/>
              <w:ind w:left="100"/>
              <w:rPr>
                <w:rFonts w:ascii="宋体" w:hAnsi="宋体"/>
                <w:kern w:val="2"/>
                <w:sz w:val="21"/>
              </w:rPr>
            </w:pPr>
            <w:r>
              <w:rPr>
                <w:rFonts w:hint="eastAsia" w:ascii="宋体" w:hAnsi="宋体"/>
                <w:kern w:val="2"/>
                <w:sz w:val="21"/>
              </w:rPr>
              <w:t>出版</w:t>
            </w:r>
          </w:p>
        </w:tc>
        <w:tc>
          <w:tcPr>
            <w:tcW w:w="1276"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1134"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709"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567" w:type="dxa"/>
            <w:vMerge w:val="continue"/>
            <w:tcBorders>
              <w:top w:val="nil"/>
              <w:left w:val="nil"/>
              <w:bottom w:val="nil"/>
              <w:right w:val="single" w:color="auto" w:sz="8" w:space="0"/>
            </w:tcBorders>
            <w:vAlign w:val="center"/>
          </w:tcPr>
          <w:p>
            <w:pPr>
              <w:rPr>
                <w:rFonts w:ascii="Arial" w:hAnsi="Arial" w:eastAsia="Arial"/>
                <w:w w:val="97"/>
                <w:kern w:val="2"/>
                <w:sz w:val="21"/>
              </w:rPr>
            </w:pPr>
          </w:p>
        </w:tc>
        <w:tc>
          <w:tcPr>
            <w:tcW w:w="709"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708"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850"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88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85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51"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1134" w:type="dxa"/>
            <w:gridSpan w:val="3"/>
            <w:vMerge w:val="continue"/>
            <w:tcBorders>
              <w:top w:val="nil"/>
              <w:left w:val="nil"/>
              <w:bottom w:val="single" w:color="auto" w:sz="8" w:space="0"/>
              <w:right w:val="single" w:color="auto" w:sz="8" w:space="0"/>
            </w:tcBorders>
            <w:vAlign w:val="center"/>
          </w:tcPr>
          <w:p>
            <w:pPr>
              <w:rPr>
                <w:rFonts w:ascii="宋体" w:hAnsi="宋体"/>
                <w:kern w:val="2"/>
                <w:sz w:val="21"/>
              </w:rPr>
            </w:pP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1134"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567"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88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r>
      <w:tr>
        <w:tblPrEx>
          <w:tblLayout w:type="fixed"/>
          <w:tblCellMar>
            <w:top w:w="0" w:type="dxa"/>
            <w:left w:w="0" w:type="dxa"/>
            <w:bottom w:w="0" w:type="dxa"/>
            <w:right w:w="0" w:type="dxa"/>
          </w:tblCellMar>
        </w:tblPrEx>
        <w:trPr>
          <w:gridAfter w:val="1"/>
          <w:wAfter w:w="433" w:type="dxa"/>
          <w:trHeight w:val="295" w:hRule="atLeast"/>
          <w:jc w:val="center"/>
        </w:trPr>
        <w:tc>
          <w:tcPr>
            <w:tcW w:w="2127" w:type="dxa"/>
            <w:tcBorders>
              <w:top w:val="nil"/>
              <w:left w:val="single" w:color="auto" w:sz="8" w:space="0"/>
              <w:bottom w:val="nil"/>
              <w:right w:val="single" w:color="auto" w:sz="8" w:space="0"/>
            </w:tcBorders>
            <w:vAlign w:val="bottom"/>
          </w:tcPr>
          <w:p>
            <w:pPr>
              <w:spacing w:line="240" w:lineRule="exact"/>
              <w:rPr>
                <w:rFonts w:ascii="宋体" w:hAnsi="宋体"/>
                <w:kern w:val="2"/>
                <w:sz w:val="21"/>
              </w:rPr>
            </w:pPr>
            <w:r>
              <w:rPr>
                <w:rFonts w:hint="eastAsia" w:ascii="宋体" w:hAnsi="宋体"/>
                <w:kern w:val="2"/>
                <w:sz w:val="21"/>
              </w:rPr>
              <w:t>30平米室外LED彩屏</w:t>
            </w:r>
          </w:p>
        </w:tc>
        <w:tc>
          <w:tcPr>
            <w:tcW w:w="708"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49</w:t>
            </w:r>
          </w:p>
        </w:tc>
        <w:tc>
          <w:tcPr>
            <w:tcW w:w="1134" w:type="dxa"/>
            <w:gridSpan w:val="3"/>
            <w:tcBorders>
              <w:top w:val="nil"/>
              <w:left w:val="nil"/>
              <w:bottom w:val="nil"/>
              <w:right w:val="single" w:color="auto" w:sz="8" w:space="0"/>
            </w:tcBorders>
            <w:vAlign w:val="bottom"/>
          </w:tcPr>
          <w:p>
            <w:pPr>
              <w:spacing w:line="240" w:lineRule="exact"/>
              <w:rPr>
                <w:rFonts w:ascii="宋体" w:hAnsi="宋体"/>
                <w:kern w:val="2"/>
                <w:sz w:val="21"/>
              </w:rPr>
            </w:pPr>
            <w:r>
              <w:rPr>
                <w:rFonts w:hint="eastAsia" w:ascii="宋体" w:hAnsi="宋体"/>
                <w:kern w:val="2"/>
                <w:sz w:val="21"/>
              </w:rPr>
              <w:t>LED显示屏</w:t>
            </w:r>
          </w:p>
        </w:tc>
        <w:tc>
          <w:tcPr>
            <w:tcW w:w="1276" w:type="dxa"/>
            <w:vMerge w:val="restart"/>
            <w:tcBorders>
              <w:top w:val="nil"/>
              <w:left w:val="nil"/>
              <w:bottom w:val="nil"/>
              <w:right w:val="single" w:color="auto" w:sz="8" w:space="0"/>
            </w:tcBorders>
            <w:vAlign w:val="bottom"/>
          </w:tcPr>
          <w:p>
            <w:pPr>
              <w:spacing w:line="0" w:lineRule="atLeast"/>
              <w:ind w:left="80"/>
              <w:rPr>
                <w:rFonts w:hint="eastAsia" w:ascii="Arial" w:hAnsi="Arial" w:eastAsiaTheme="minorEastAsia"/>
                <w:kern w:val="2"/>
                <w:sz w:val="21"/>
              </w:rPr>
            </w:pPr>
            <w:r>
              <w:rPr>
                <w:rFonts w:hint="eastAsia" w:ascii="Arial" w:hAnsi="Arial" w:eastAsiaTheme="minorEastAsia"/>
                <w:kern w:val="2"/>
                <w:sz w:val="21"/>
              </w:rPr>
              <w:t>A020207</w:t>
            </w:r>
          </w:p>
        </w:tc>
        <w:tc>
          <w:tcPr>
            <w:tcW w:w="1134" w:type="dxa"/>
            <w:tcBorders>
              <w:top w:val="nil"/>
              <w:left w:val="nil"/>
              <w:bottom w:val="nil"/>
              <w:right w:val="single" w:color="auto" w:sz="8" w:space="0"/>
            </w:tcBorders>
            <w:vAlign w:val="bottom"/>
          </w:tcPr>
          <w:p>
            <w:pPr>
              <w:spacing w:line="0" w:lineRule="atLeast"/>
              <w:rPr>
                <w:rFonts w:hint="eastAsia" w:ascii="Times New Roman" w:hAnsi="Times New Roman" w:eastAsiaTheme="minorEastAsia"/>
                <w:kern w:val="2"/>
                <w:sz w:val="24"/>
              </w:rPr>
            </w:pPr>
            <w:r>
              <w:rPr>
                <w:rFonts w:hint="eastAsia" w:ascii="Times New Roman" w:hAnsi="Times New Roman" w:eastAsiaTheme="minorEastAsia"/>
                <w:kern w:val="2"/>
                <w:sz w:val="24"/>
              </w:rPr>
              <w:t>台</w:t>
            </w:r>
          </w:p>
        </w:tc>
        <w:tc>
          <w:tcPr>
            <w:tcW w:w="709" w:type="dxa"/>
            <w:vMerge w:val="restart"/>
            <w:tcBorders>
              <w:top w:val="nil"/>
              <w:left w:val="nil"/>
              <w:bottom w:val="nil"/>
              <w:right w:val="single" w:color="auto" w:sz="8" w:space="0"/>
            </w:tcBorders>
            <w:vAlign w:val="bottom"/>
          </w:tcPr>
          <w:p>
            <w:pPr>
              <w:spacing w:line="0" w:lineRule="atLeast"/>
              <w:ind w:right="17"/>
              <w:jc w:val="right"/>
              <w:rPr>
                <w:rFonts w:ascii="Arial" w:hAnsi="Arial" w:eastAsia="Arial"/>
                <w:kern w:val="2"/>
                <w:sz w:val="21"/>
              </w:rPr>
            </w:pPr>
            <w:r>
              <w:rPr>
                <w:rFonts w:ascii="Arial" w:hAnsi="Arial" w:eastAsia="Arial"/>
                <w:kern w:val="2"/>
                <w:sz w:val="21"/>
              </w:rPr>
              <w:t>1.00</w:t>
            </w:r>
          </w:p>
        </w:tc>
        <w:tc>
          <w:tcPr>
            <w:tcW w:w="567"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49</w:t>
            </w:r>
          </w:p>
        </w:tc>
        <w:tc>
          <w:tcPr>
            <w:tcW w:w="709"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49</w:t>
            </w:r>
          </w:p>
        </w:tc>
        <w:tc>
          <w:tcPr>
            <w:tcW w:w="708"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49</w:t>
            </w:r>
          </w:p>
        </w:tc>
        <w:tc>
          <w:tcPr>
            <w:tcW w:w="850"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49</w:t>
            </w:r>
          </w:p>
        </w:tc>
        <w:tc>
          <w:tcPr>
            <w:tcW w:w="88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85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82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1800"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r>
      <w:tr>
        <w:tblPrEx>
          <w:tblLayout w:type="fixed"/>
          <w:tblCellMar>
            <w:top w:w="0" w:type="dxa"/>
            <w:left w:w="0" w:type="dxa"/>
            <w:bottom w:w="0" w:type="dxa"/>
            <w:right w:w="0" w:type="dxa"/>
          </w:tblCellMar>
        </w:tblPrEx>
        <w:trPr>
          <w:gridAfter w:val="1"/>
          <w:wAfter w:w="433" w:type="dxa"/>
          <w:trHeight w:val="151" w:hRule="atLeast"/>
          <w:jc w:val="center"/>
        </w:trPr>
        <w:tc>
          <w:tcPr>
            <w:tcW w:w="2127" w:type="dxa"/>
            <w:vMerge w:val="restart"/>
            <w:tcBorders>
              <w:top w:val="nil"/>
              <w:left w:val="single" w:color="auto" w:sz="8" w:space="0"/>
              <w:bottom w:val="single" w:color="auto" w:sz="8" w:space="0"/>
              <w:right w:val="single" w:color="auto" w:sz="8" w:space="0"/>
            </w:tcBorders>
            <w:vAlign w:val="bottom"/>
          </w:tcPr>
          <w:p>
            <w:pPr>
              <w:spacing w:line="240" w:lineRule="exact"/>
              <w:rPr>
                <w:rFonts w:ascii="宋体" w:hAnsi="宋体"/>
                <w:kern w:val="2"/>
                <w:sz w:val="21"/>
              </w:rPr>
            </w:pPr>
          </w:p>
        </w:tc>
        <w:tc>
          <w:tcPr>
            <w:tcW w:w="708"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1134" w:type="dxa"/>
            <w:gridSpan w:val="3"/>
            <w:vMerge w:val="restart"/>
            <w:tcBorders>
              <w:top w:val="nil"/>
              <w:left w:val="nil"/>
              <w:bottom w:val="single" w:color="auto" w:sz="8" w:space="0"/>
              <w:right w:val="single" w:color="auto" w:sz="8" w:space="0"/>
            </w:tcBorders>
            <w:vAlign w:val="bottom"/>
          </w:tcPr>
          <w:p>
            <w:pPr>
              <w:spacing w:line="240" w:lineRule="exact"/>
              <w:rPr>
                <w:rFonts w:ascii="宋体" w:hAnsi="宋体"/>
                <w:kern w:val="2"/>
                <w:sz w:val="21"/>
              </w:rPr>
            </w:pPr>
          </w:p>
        </w:tc>
        <w:tc>
          <w:tcPr>
            <w:tcW w:w="1276"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1134"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709"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567"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709"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708"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850"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88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85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82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1800"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vMerge w:val="continue"/>
            <w:tcBorders>
              <w:top w:val="nil"/>
              <w:left w:val="single" w:color="auto" w:sz="8" w:space="0"/>
              <w:bottom w:val="single" w:color="auto" w:sz="8" w:space="0"/>
              <w:right w:val="single" w:color="auto" w:sz="8" w:space="0"/>
            </w:tcBorders>
            <w:vAlign w:val="center"/>
          </w:tcPr>
          <w:p>
            <w:pPr>
              <w:rPr>
                <w:rFonts w:ascii="宋体" w:hAnsi="宋体"/>
                <w:kern w:val="2"/>
                <w:sz w:val="21"/>
              </w:rPr>
            </w:pP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134" w:type="dxa"/>
            <w:gridSpan w:val="3"/>
            <w:vMerge w:val="continue"/>
            <w:tcBorders>
              <w:top w:val="nil"/>
              <w:left w:val="nil"/>
              <w:bottom w:val="single" w:color="auto" w:sz="8" w:space="0"/>
              <w:right w:val="single" w:color="auto" w:sz="8" w:space="0"/>
            </w:tcBorders>
            <w:vAlign w:val="center"/>
          </w:tcPr>
          <w:p>
            <w:pPr>
              <w:rPr>
                <w:rFonts w:ascii="宋体" w:hAnsi="宋体"/>
                <w:kern w:val="2"/>
                <w:sz w:val="21"/>
              </w:rPr>
            </w:pP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134"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567"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8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294" w:hRule="atLeast"/>
          <w:jc w:val="center"/>
        </w:trPr>
        <w:tc>
          <w:tcPr>
            <w:tcW w:w="2127" w:type="dxa"/>
            <w:vMerge w:val="restart"/>
            <w:tcBorders>
              <w:top w:val="nil"/>
              <w:left w:val="single" w:color="auto" w:sz="8" w:space="0"/>
              <w:bottom w:val="nil"/>
              <w:right w:val="single" w:color="auto" w:sz="8" w:space="0"/>
            </w:tcBorders>
            <w:vAlign w:val="bottom"/>
          </w:tcPr>
          <w:p>
            <w:pPr>
              <w:spacing w:line="240" w:lineRule="exact"/>
              <w:ind w:left="120"/>
              <w:rPr>
                <w:rFonts w:ascii="宋体" w:hAnsi="宋体"/>
                <w:kern w:val="2"/>
                <w:sz w:val="21"/>
              </w:rPr>
            </w:pPr>
            <w:r>
              <w:rPr>
                <w:rFonts w:hint="eastAsia" w:ascii="宋体" w:hAnsi="宋体"/>
                <w:kern w:val="2"/>
                <w:sz w:val="21"/>
              </w:rPr>
              <w:t>接待用服装</w:t>
            </w:r>
          </w:p>
        </w:tc>
        <w:tc>
          <w:tcPr>
            <w:tcW w:w="708"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30</w:t>
            </w:r>
          </w:p>
        </w:tc>
        <w:tc>
          <w:tcPr>
            <w:tcW w:w="1134" w:type="dxa"/>
            <w:gridSpan w:val="3"/>
            <w:tcBorders>
              <w:top w:val="nil"/>
              <w:left w:val="nil"/>
              <w:bottom w:val="nil"/>
              <w:right w:val="single" w:color="auto" w:sz="8" w:space="0"/>
            </w:tcBorders>
            <w:vAlign w:val="bottom"/>
          </w:tcPr>
          <w:p>
            <w:pPr>
              <w:spacing w:line="240" w:lineRule="exact"/>
              <w:ind w:left="100"/>
              <w:rPr>
                <w:rFonts w:ascii="宋体" w:hAnsi="宋体"/>
                <w:kern w:val="2"/>
                <w:sz w:val="21"/>
              </w:rPr>
            </w:pPr>
            <w:r>
              <w:rPr>
                <w:rFonts w:hint="eastAsia" w:ascii="宋体" w:hAnsi="宋体"/>
                <w:kern w:val="2"/>
                <w:sz w:val="21"/>
              </w:rPr>
              <w:t>纺织原料、毛皮、被服装具</w:t>
            </w:r>
          </w:p>
        </w:tc>
        <w:tc>
          <w:tcPr>
            <w:tcW w:w="1276" w:type="dxa"/>
            <w:vMerge w:val="restart"/>
            <w:tcBorders>
              <w:top w:val="nil"/>
              <w:left w:val="nil"/>
              <w:bottom w:val="nil"/>
              <w:right w:val="single" w:color="auto" w:sz="8" w:space="0"/>
            </w:tcBorders>
            <w:vAlign w:val="bottom"/>
          </w:tcPr>
          <w:p>
            <w:pPr>
              <w:spacing w:line="0" w:lineRule="atLeast"/>
              <w:ind w:left="80"/>
              <w:rPr>
                <w:rFonts w:hint="eastAsia" w:ascii="Arial" w:hAnsi="Arial" w:eastAsiaTheme="minorEastAsia"/>
                <w:kern w:val="2"/>
                <w:sz w:val="21"/>
              </w:rPr>
            </w:pPr>
            <w:r>
              <w:rPr>
                <w:rFonts w:hint="eastAsia" w:ascii="Arial" w:hAnsi="Arial" w:eastAsiaTheme="minorEastAsia"/>
                <w:kern w:val="2"/>
                <w:sz w:val="21"/>
              </w:rPr>
              <w:t>A07</w:t>
            </w:r>
          </w:p>
        </w:tc>
        <w:tc>
          <w:tcPr>
            <w:tcW w:w="1134" w:type="dxa"/>
            <w:tcBorders>
              <w:top w:val="nil"/>
              <w:left w:val="nil"/>
              <w:bottom w:val="nil"/>
              <w:right w:val="single" w:color="auto" w:sz="8" w:space="0"/>
            </w:tcBorders>
            <w:vAlign w:val="bottom"/>
          </w:tcPr>
          <w:p>
            <w:pPr>
              <w:spacing w:line="0" w:lineRule="atLeast"/>
              <w:rPr>
                <w:rFonts w:hint="eastAsia" w:ascii="Times New Roman" w:hAnsi="Times New Roman" w:eastAsiaTheme="minorEastAsia"/>
                <w:kern w:val="2"/>
                <w:sz w:val="24"/>
              </w:rPr>
            </w:pPr>
            <w:r>
              <w:rPr>
                <w:rFonts w:hint="eastAsia" w:ascii="Times New Roman" w:hAnsi="Times New Roman" w:eastAsiaTheme="minorEastAsia"/>
                <w:kern w:val="2"/>
                <w:sz w:val="24"/>
              </w:rPr>
              <w:t>套</w:t>
            </w:r>
          </w:p>
        </w:tc>
        <w:tc>
          <w:tcPr>
            <w:tcW w:w="709" w:type="dxa"/>
            <w:vMerge w:val="restart"/>
            <w:tcBorders>
              <w:top w:val="nil"/>
              <w:left w:val="nil"/>
              <w:bottom w:val="nil"/>
              <w:right w:val="single" w:color="auto" w:sz="8" w:space="0"/>
            </w:tcBorders>
            <w:vAlign w:val="bottom"/>
          </w:tcPr>
          <w:p>
            <w:pPr>
              <w:spacing w:line="0" w:lineRule="atLeast"/>
              <w:ind w:right="17"/>
              <w:jc w:val="right"/>
              <w:rPr>
                <w:rFonts w:hint="eastAsia" w:ascii="Arial" w:hAnsi="Arial" w:eastAsiaTheme="minorEastAsia"/>
                <w:kern w:val="2"/>
                <w:sz w:val="21"/>
              </w:rPr>
            </w:pPr>
            <w:r>
              <w:rPr>
                <w:rFonts w:hint="eastAsia" w:ascii="Arial" w:hAnsi="Arial" w:eastAsiaTheme="minorEastAsia"/>
                <w:kern w:val="2"/>
                <w:sz w:val="21"/>
              </w:rPr>
              <w:t>200</w:t>
            </w:r>
          </w:p>
        </w:tc>
        <w:tc>
          <w:tcPr>
            <w:tcW w:w="567"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0.15</w:t>
            </w:r>
          </w:p>
        </w:tc>
        <w:tc>
          <w:tcPr>
            <w:tcW w:w="709"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30</w:t>
            </w:r>
          </w:p>
        </w:tc>
        <w:tc>
          <w:tcPr>
            <w:tcW w:w="708"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30</w:t>
            </w:r>
          </w:p>
        </w:tc>
        <w:tc>
          <w:tcPr>
            <w:tcW w:w="850"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30</w:t>
            </w:r>
          </w:p>
        </w:tc>
        <w:tc>
          <w:tcPr>
            <w:tcW w:w="88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85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82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1800"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r>
      <w:tr>
        <w:tblPrEx>
          <w:tblLayout w:type="fixed"/>
          <w:tblCellMar>
            <w:top w:w="0" w:type="dxa"/>
            <w:left w:w="0" w:type="dxa"/>
            <w:bottom w:w="0" w:type="dxa"/>
            <w:right w:w="0" w:type="dxa"/>
          </w:tblCellMar>
        </w:tblPrEx>
        <w:trPr>
          <w:gridAfter w:val="1"/>
          <w:wAfter w:w="433" w:type="dxa"/>
          <w:trHeight w:val="151" w:hRule="atLeast"/>
          <w:jc w:val="center"/>
        </w:trPr>
        <w:tc>
          <w:tcPr>
            <w:tcW w:w="2127" w:type="dxa"/>
            <w:vMerge w:val="continue"/>
            <w:tcBorders>
              <w:top w:val="nil"/>
              <w:left w:val="single" w:color="auto" w:sz="8" w:space="0"/>
              <w:bottom w:val="nil"/>
              <w:right w:val="single" w:color="auto" w:sz="8" w:space="0"/>
            </w:tcBorders>
            <w:vAlign w:val="center"/>
          </w:tcPr>
          <w:p>
            <w:pPr>
              <w:rPr>
                <w:rFonts w:ascii="宋体" w:hAnsi="宋体"/>
                <w:kern w:val="2"/>
                <w:sz w:val="21"/>
              </w:rPr>
            </w:pPr>
          </w:p>
        </w:tc>
        <w:tc>
          <w:tcPr>
            <w:tcW w:w="708"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1134" w:type="dxa"/>
            <w:gridSpan w:val="3"/>
            <w:vMerge w:val="restart"/>
            <w:tcBorders>
              <w:top w:val="nil"/>
              <w:left w:val="nil"/>
              <w:bottom w:val="single" w:color="auto" w:sz="8" w:space="0"/>
              <w:right w:val="single" w:color="auto" w:sz="8" w:space="0"/>
            </w:tcBorders>
            <w:vAlign w:val="bottom"/>
          </w:tcPr>
          <w:p>
            <w:pPr>
              <w:spacing w:line="240" w:lineRule="exact"/>
              <w:rPr>
                <w:rFonts w:ascii="宋体" w:hAnsi="宋体"/>
                <w:kern w:val="2"/>
                <w:sz w:val="21"/>
              </w:rPr>
            </w:pPr>
          </w:p>
        </w:tc>
        <w:tc>
          <w:tcPr>
            <w:tcW w:w="1276"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1134"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709"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567"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709"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708"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850"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88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85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82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1800"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134" w:type="dxa"/>
            <w:gridSpan w:val="3"/>
            <w:vMerge w:val="continue"/>
            <w:tcBorders>
              <w:top w:val="nil"/>
              <w:left w:val="nil"/>
              <w:bottom w:val="single" w:color="auto" w:sz="8" w:space="0"/>
              <w:right w:val="single" w:color="auto" w:sz="8" w:space="0"/>
            </w:tcBorders>
            <w:vAlign w:val="center"/>
          </w:tcPr>
          <w:p>
            <w:pPr>
              <w:rPr>
                <w:rFonts w:ascii="宋体" w:hAnsi="宋体"/>
                <w:kern w:val="2"/>
                <w:sz w:val="21"/>
              </w:rPr>
            </w:pP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134"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567"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8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297" w:hRule="atLeast"/>
          <w:jc w:val="center"/>
        </w:trPr>
        <w:tc>
          <w:tcPr>
            <w:tcW w:w="2127" w:type="dxa"/>
            <w:tcBorders>
              <w:top w:val="nil"/>
              <w:left w:val="single" w:color="auto" w:sz="8" w:space="0"/>
              <w:bottom w:val="nil"/>
              <w:right w:val="single" w:color="auto" w:sz="8" w:space="0"/>
            </w:tcBorders>
            <w:vAlign w:val="bottom"/>
          </w:tcPr>
          <w:p>
            <w:pPr>
              <w:spacing w:line="240" w:lineRule="exact"/>
              <w:ind w:left="120"/>
              <w:rPr>
                <w:rFonts w:ascii="宋体" w:hAnsi="宋体"/>
                <w:kern w:val="2"/>
                <w:sz w:val="21"/>
              </w:rPr>
            </w:pPr>
            <w:r>
              <w:rPr>
                <w:rFonts w:hint="eastAsia" w:ascii="宋体" w:hAnsi="宋体"/>
                <w:kern w:val="2"/>
                <w:sz w:val="21"/>
              </w:rPr>
              <w:t>办公用品购置</w:t>
            </w:r>
          </w:p>
        </w:tc>
        <w:tc>
          <w:tcPr>
            <w:tcW w:w="708"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20</w:t>
            </w:r>
          </w:p>
        </w:tc>
        <w:tc>
          <w:tcPr>
            <w:tcW w:w="1134" w:type="dxa"/>
            <w:gridSpan w:val="3"/>
            <w:tcBorders>
              <w:top w:val="nil"/>
              <w:left w:val="nil"/>
              <w:bottom w:val="nil"/>
              <w:right w:val="single" w:color="auto" w:sz="8" w:space="0"/>
            </w:tcBorders>
            <w:vAlign w:val="bottom"/>
          </w:tcPr>
          <w:p>
            <w:pPr>
              <w:spacing w:line="240" w:lineRule="exact"/>
              <w:ind w:left="100"/>
              <w:rPr>
                <w:rFonts w:ascii="宋体" w:hAnsi="宋体"/>
                <w:kern w:val="2"/>
                <w:sz w:val="21"/>
              </w:rPr>
            </w:pPr>
            <w:r>
              <w:rPr>
                <w:rFonts w:hint="eastAsia" w:ascii="宋体" w:hAnsi="宋体"/>
                <w:kern w:val="2"/>
                <w:sz w:val="21"/>
              </w:rPr>
              <w:t>投影仪</w:t>
            </w:r>
          </w:p>
        </w:tc>
        <w:tc>
          <w:tcPr>
            <w:tcW w:w="1276" w:type="dxa"/>
            <w:vMerge w:val="restart"/>
            <w:tcBorders>
              <w:top w:val="nil"/>
              <w:left w:val="nil"/>
              <w:bottom w:val="nil"/>
              <w:right w:val="single" w:color="auto" w:sz="8" w:space="0"/>
            </w:tcBorders>
            <w:vAlign w:val="bottom"/>
          </w:tcPr>
          <w:p>
            <w:pPr>
              <w:spacing w:line="0" w:lineRule="atLeast"/>
              <w:ind w:left="80"/>
              <w:rPr>
                <w:rFonts w:hint="eastAsia" w:ascii="Arial" w:hAnsi="Arial" w:eastAsiaTheme="minorEastAsia"/>
                <w:kern w:val="2"/>
                <w:sz w:val="21"/>
              </w:rPr>
            </w:pPr>
            <w:r>
              <w:rPr>
                <w:rFonts w:hint="eastAsia" w:ascii="Arial" w:hAnsi="Arial" w:eastAsiaTheme="minorEastAsia"/>
                <w:kern w:val="2"/>
                <w:sz w:val="21"/>
              </w:rPr>
              <w:t>A020202</w:t>
            </w:r>
          </w:p>
        </w:tc>
        <w:tc>
          <w:tcPr>
            <w:tcW w:w="1134" w:type="dxa"/>
            <w:tcBorders>
              <w:top w:val="nil"/>
              <w:left w:val="nil"/>
              <w:bottom w:val="nil"/>
              <w:right w:val="single" w:color="auto" w:sz="8" w:space="0"/>
            </w:tcBorders>
            <w:vAlign w:val="bottom"/>
          </w:tcPr>
          <w:p>
            <w:pPr>
              <w:spacing w:line="0" w:lineRule="atLeast"/>
              <w:rPr>
                <w:rFonts w:hint="eastAsia" w:ascii="Times New Roman" w:hAnsi="Times New Roman" w:eastAsiaTheme="minorEastAsia"/>
                <w:kern w:val="2"/>
                <w:sz w:val="24"/>
              </w:rPr>
            </w:pPr>
            <w:r>
              <w:rPr>
                <w:rFonts w:hint="eastAsia" w:ascii="Times New Roman" w:hAnsi="Times New Roman" w:eastAsiaTheme="minorEastAsia"/>
                <w:kern w:val="2"/>
                <w:sz w:val="24"/>
              </w:rPr>
              <w:t>台</w:t>
            </w:r>
          </w:p>
        </w:tc>
        <w:tc>
          <w:tcPr>
            <w:tcW w:w="709" w:type="dxa"/>
            <w:vMerge w:val="restart"/>
            <w:tcBorders>
              <w:top w:val="nil"/>
              <w:left w:val="nil"/>
              <w:bottom w:val="nil"/>
              <w:right w:val="single" w:color="auto" w:sz="8" w:space="0"/>
            </w:tcBorders>
            <w:vAlign w:val="bottom"/>
          </w:tcPr>
          <w:p>
            <w:pPr>
              <w:spacing w:line="0" w:lineRule="atLeast"/>
              <w:ind w:right="17"/>
              <w:jc w:val="right"/>
              <w:rPr>
                <w:rFonts w:ascii="Arial" w:hAnsi="Arial" w:eastAsia="Arial"/>
                <w:kern w:val="2"/>
                <w:sz w:val="21"/>
              </w:rPr>
            </w:pPr>
            <w:r>
              <w:rPr>
                <w:rFonts w:ascii="Arial" w:hAnsi="Arial" w:eastAsia="Arial"/>
                <w:kern w:val="2"/>
                <w:sz w:val="21"/>
              </w:rPr>
              <w:t>1.00</w:t>
            </w:r>
          </w:p>
        </w:tc>
        <w:tc>
          <w:tcPr>
            <w:tcW w:w="567"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2.1</w:t>
            </w:r>
          </w:p>
        </w:tc>
        <w:tc>
          <w:tcPr>
            <w:tcW w:w="709"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2.1</w:t>
            </w:r>
          </w:p>
        </w:tc>
        <w:tc>
          <w:tcPr>
            <w:tcW w:w="708"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2.1</w:t>
            </w:r>
          </w:p>
        </w:tc>
        <w:tc>
          <w:tcPr>
            <w:tcW w:w="850"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2.1</w:t>
            </w:r>
          </w:p>
        </w:tc>
        <w:tc>
          <w:tcPr>
            <w:tcW w:w="88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85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82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1800"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vMerge w:val="restart"/>
            <w:tcBorders>
              <w:top w:val="nil"/>
              <w:left w:val="single" w:color="auto" w:sz="8" w:space="0"/>
              <w:bottom w:val="single" w:color="auto" w:sz="8" w:space="0"/>
              <w:right w:val="single" w:color="auto" w:sz="8" w:space="0"/>
            </w:tcBorders>
            <w:vAlign w:val="bottom"/>
          </w:tcPr>
          <w:p>
            <w:pPr>
              <w:spacing w:line="240" w:lineRule="exact"/>
              <w:rPr>
                <w:rFonts w:ascii="宋体" w:hAnsi="宋体"/>
                <w:kern w:val="2"/>
                <w:sz w:val="21"/>
              </w:rPr>
            </w:pPr>
          </w:p>
        </w:tc>
        <w:tc>
          <w:tcPr>
            <w:tcW w:w="708"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1134" w:type="dxa"/>
            <w:gridSpan w:val="3"/>
            <w:vMerge w:val="restart"/>
            <w:tcBorders>
              <w:top w:val="nil"/>
              <w:left w:val="nil"/>
              <w:bottom w:val="single" w:color="auto" w:sz="8" w:space="0"/>
              <w:right w:val="single" w:color="auto" w:sz="8" w:space="0"/>
            </w:tcBorders>
            <w:vAlign w:val="bottom"/>
          </w:tcPr>
          <w:p>
            <w:pPr>
              <w:spacing w:line="240" w:lineRule="exact"/>
              <w:rPr>
                <w:rFonts w:ascii="宋体" w:hAnsi="宋体"/>
                <w:kern w:val="2"/>
                <w:sz w:val="21"/>
              </w:rPr>
            </w:pPr>
          </w:p>
        </w:tc>
        <w:tc>
          <w:tcPr>
            <w:tcW w:w="1276"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1134"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709"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567"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709"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708"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850"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88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85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51" w:hRule="atLeast"/>
          <w:jc w:val="center"/>
        </w:trPr>
        <w:tc>
          <w:tcPr>
            <w:tcW w:w="2127" w:type="dxa"/>
            <w:vMerge w:val="continue"/>
            <w:tcBorders>
              <w:top w:val="nil"/>
              <w:left w:val="single" w:color="auto" w:sz="8" w:space="0"/>
              <w:bottom w:val="single" w:color="auto" w:sz="8" w:space="0"/>
              <w:right w:val="single" w:color="auto" w:sz="8" w:space="0"/>
            </w:tcBorders>
            <w:vAlign w:val="center"/>
          </w:tcPr>
          <w:p>
            <w:pPr>
              <w:rPr>
                <w:rFonts w:ascii="宋体" w:hAnsi="宋体"/>
                <w:kern w:val="2"/>
                <w:sz w:val="21"/>
              </w:rPr>
            </w:pP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1134" w:type="dxa"/>
            <w:gridSpan w:val="3"/>
            <w:vMerge w:val="continue"/>
            <w:tcBorders>
              <w:top w:val="nil"/>
              <w:left w:val="nil"/>
              <w:bottom w:val="single" w:color="auto" w:sz="8" w:space="0"/>
              <w:right w:val="single" w:color="auto" w:sz="8" w:space="0"/>
            </w:tcBorders>
            <w:vAlign w:val="center"/>
          </w:tcPr>
          <w:p>
            <w:pPr>
              <w:rPr>
                <w:rFonts w:ascii="宋体" w:hAnsi="宋体"/>
                <w:kern w:val="2"/>
                <w:sz w:val="21"/>
              </w:rPr>
            </w:pP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1134"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567"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88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r>
      <w:tr>
        <w:tblPrEx>
          <w:tblLayout w:type="fixed"/>
          <w:tblCellMar>
            <w:top w:w="0" w:type="dxa"/>
            <w:left w:w="0" w:type="dxa"/>
            <w:bottom w:w="0" w:type="dxa"/>
            <w:right w:w="0" w:type="dxa"/>
          </w:tblCellMar>
        </w:tblPrEx>
        <w:trPr>
          <w:gridAfter w:val="1"/>
          <w:wAfter w:w="433" w:type="dxa"/>
          <w:trHeight w:val="294" w:hRule="atLeast"/>
          <w:jc w:val="center"/>
        </w:trPr>
        <w:tc>
          <w:tcPr>
            <w:tcW w:w="2127" w:type="dxa"/>
            <w:tcBorders>
              <w:top w:val="nil"/>
              <w:left w:val="single" w:color="auto" w:sz="8" w:space="0"/>
              <w:bottom w:val="nil"/>
              <w:right w:val="single" w:color="auto" w:sz="8" w:space="0"/>
            </w:tcBorders>
            <w:vAlign w:val="bottom"/>
          </w:tcPr>
          <w:p>
            <w:pPr>
              <w:spacing w:line="240" w:lineRule="exact"/>
              <w:rPr>
                <w:rFonts w:ascii="宋体" w:hAnsi="宋体"/>
                <w:b/>
                <w:kern w:val="2"/>
                <w:sz w:val="21"/>
              </w:rPr>
            </w:pPr>
            <w:r>
              <w:rPr>
                <w:rFonts w:hint="eastAsia" w:ascii="宋体" w:hAnsi="宋体"/>
                <w:kern w:val="2"/>
                <w:sz w:val="21"/>
              </w:rPr>
              <w:t>办公用品购置</w:t>
            </w:r>
          </w:p>
        </w:tc>
        <w:tc>
          <w:tcPr>
            <w:tcW w:w="708" w:type="dxa"/>
            <w:tcBorders>
              <w:top w:val="nil"/>
              <w:left w:val="nil"/>
              <w:bottom w:val="nil"/>
              <w:right w:val="single" w:color="auto" w:sz="8" w:space="0"/>
            </w:tcBorders>
            <w:vAlign w:val="bottom"/>
          </w:tcPr>
          <w:p>
            <w:pPr>
              <w:spacing w:line="0" w:lineRule="atLeast"/>
              <w:ind w:firstLine="360" w:firstLineChars="150"/>
              <w:rPr>
                <w:rFonts w:hint="eastAsia" w:ascii="Times New Roman" w:hAnsi="Times New Roman" w:eastAsiaTheme="minorEastAsia"/>
                <w:kern w:val="2"/>
                <w:sz w:val="24"/>
              </w:rPr>
            </w:pPr>
            <w:r>
              <w:rPr>
                <w:rFonts w:hint="eastAsia" w:ascii="Times New Roman" w:hAnsi="Times New Roman" w:eastAsiaTheme="minorEastAsia"/>
                <w:kern w:val="2"/>
                <w:sz w:val="24"/>
              </w:rPr>
              <w:t>20</w:t>
            </w:r>
          </w:p>
        </w:tc>
        <w:tc>
          <w:tcPr>
            <w:tcW w:w="1134" w:type="dxa"/>
            <w:gridSpan w:val="3"/>
            <w:tcBorders>
              <w:top w:val="nil"/>
              <w:left w:val="nil"/>
              <w:bottom w:val="nil"/>
              <w:right w:val="single" w:color="auto" w:sz="8" w:space="0"/>
            </w:tcBorders>
            <w:vAlign w:val="bottom"/>
          </w:tcPr>
          <w:p>
            <w:pPr>
              <w:spacing w:line="0" w:lineRule="atLeast"/>
              <w:rPr>
                <w:rFonts w:hint="eastAsia" w:ascii="Times New Roman" w:hAnsi="Times New Roman" w:eastAsiaTheme="minorEastAsia"/>
                <w:kern w:val="2"/>
                <w:sz w:val="24"/>
              </w:rPr>
            </w:pPr>
            <w:r>
              <w:rPr>
                <w:rFonts w:hint="eastAsia" w:ascii="Times New Roman" w:hAnsi="Times New Roman" w:eastAsiaTheme="minorEastAsia"/>
                <w:kern w:val="2"/>
                <w:sz w:val="24"/>
              </w:rPr>
              <w:t>家具用具</w:t>
            </w:r>
          </w:p>
        </w:tc>
        <w:tc>
          <w:tcPr>
            <w:tcW w:w="1276" w:type="dxa"/>
            <w:tcBorders>
              <w:top w:val="nil"/>
              <w:left w:val="nil"/>
              <w:bottom w:val="nil"/>
              <w:right w:val="single" w:color="auto" w:sz="8" w:space="0"/>
            </w:tcBorders>
            <w:vAlign w:val="bottom"/>
          </w:tcPr>
          <w:p>
            <w:pPr>
              <w:spacing w:line="0" w:lineRule="atLeast"/>
              <w:rPr>
                <w:rFonts w:hint="eastAsia" w:ascii="Times New Roman" w:hAnsi="Times New Roman" w:eastAsiaTheme="minorEastAsia"/>
                <w:kern w:val="2"/>
                <w:sz w:val="24"/>
              </w:rPr>
            </w:pPr>
            <w:r>
              <w:rPr>
                <w:rFonts w:hint="eastAsia" w:ascii="Times New Roman" w:hAnsi="Times New Roman" w:eastAsiaTheme="minorEastAsia"/>
                <w:kern w:val="2"/>
                <w:sz w:val="24"/>
              </w:rPr>
              <w:t>A06</w:t>
            </w:r>
          </w:p>
        </w:tc>
        <w:tc>
          <w:tcPr>
            <w:tcW w:w="1134" w:type="dxa"/>
            <w:tcBorders>
              <w:top w:val="nil"/>
              <w:left w:val="nil"/>
              <w:bottom w:val="nil"/>
              <w:right w:val="single" w:color="auto" w:sz="8" w:space="0"/>
            </w:tcBorders>
            <w:vAlign w:val="bottom"/>
          </w:tcPr>
          <w:p>
            <w:pPr>
              <w:spacing w:line="0" w:lineRule="atLeast"/>
              <w:rPr>
                <w:rFonts w:hint="eastAsia" w:ascii="Times New Roman" w:hAnsi="Times New Roman" w:eastAsiaTheme="minorEastAsia"/>
                <w:kern w:val="2"/>
                <w:sz w:val="24"/>
              </w:rPr>
            </w:pPr>
            <w:r>
              <w:rPr>
                <w:rFonts w:hint="eastAsia" w:ascii="Times New Roman" w:hAnsi="Times New Roman" w:eastAsiaTheme="minorEastAsia"/>
                <w:kern w:val="2"/>
                <w:sz w:val="24"/>
              </w:rPr>
              <w:t>张</w:t>
            </w:r>
          </w:p>
        </w:tc>
        <w:tc>
          <w:tcPr>
            <w:tcW w:w="709" w:type="dxa"/>
            <w:tcBorders>
              <w:top w:val="nil"/>
              <w:left w:val="nil"/>
              <w:bottom w:val="nil"/>
              <w:right w:val="single" w:color="auto" w:sz="8" w:space="0"/>
            </w:tcBorders>
            <w:vAlign w:val="bottom"/>
          </w:tcPr>
          <w:p>
            <w:pPr>
              <w:spacing w:line="0" w:lineRule="atLeast"/>
              <w:rPr>
                <w:rFonts w:hint="eastAsia" w:ascii="Times New Roman" w:hAnsi="Times New Roman" w:eastAsiaTheme="minorEastAsia"/>
                <w:kern w:val="2"/>
                <w:sz w:val="24"/>
              </w:rPr>
            </w:pPr>
            <w:r>
              <w:rPr>
                <w:rFonts w:hint="eastAsia" w:ascii="Times New Roman" w:hAnsi="Times New Roman" w:eastAsiaTheme="minorEastAsia"/>
                <w:kern w:val="2"/>
                <w:sz w:val="24"/>
              </w:rPr>
              <w:t>4</w:t>
            </w:r>
          </w:p>
        </w:tc>
        <w:tc>
          <w:tcPr>
            <w:tcW w:w="567" w:type="dxa"/>
            <w:tcBorders>
              <w:top w:val="nil"/>
              <w:left w:val="nil"/>
              <w:bottom w:val="nil"/>
              <w:right w:val="single" w:color="auto" w:sz="8" w:space="0"/>
            </w:tcBorders>
            <w:vAlign w:val="bottom"/>
          </w:tcPr>
          <w:p>
            <w:pPr>
              <w:spacing w:line="0" w:lineRule="atLeast"/>
              <w:rPr>
                <w:rFonts w:hint="eastAsia" w:ascii="Times New Roman" w:hAnsi="Times New Roman" w:eastAsiaTheme="minorEastAsia"/>
                <w:kern w:val="2"/>
                <w:sz w:val="24"/>
              </w:rPr>
            </w:pPr>
            <w:r>
              <w:rPr>
                <w:rFonts w:hint="eastAsia" w:ascii="Times New Roman" w:hAnsi="Times New Roman" w:eastAsiaTheme="minorEastAsia"/>
                <w:kern w:val="2"/>
                <w:sz w:val="24"/>
              </w:rPr>
              <w:t>0.16</w:t>
            </w:r>
          </w:p>
        </w:tc>
        <w:tc>
          <w:tcPr>
            <w:tcW w:w="709"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b w:val="0"/>
                <w:bCs/>
                <w:kern w:val="2"/>
                <w:sz w:val="21"/>
              </w:rPr>
            </w:pPr>
            <w:r>
              <w:rPr>
                <w:rFonts w:hint="eastAsia" w:ascii="Arial" w:hAnsi="Arial" w:eastAsiaTheme="minorEastAsia"/>
                <w:b w:val="0"/>
                <w:bCs/>
                <w:kern w:val="2"/>
                <w:sz w:val="21"/>
              </w:rPr>
              <w:t>0.64</w:t>
            </w:r>
          </w:p>
        </w:tc>
        <w:tc>
          <w:tcPr>
            <w:tcW w:w="708"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b w:val="0"/>
                <w:bCs/>
                <w:kern w:val="2"/>
                <w:sz w:val="21"/>
              </w:rPr>
            </w:pPr>
            <w:r>
              <w:rPr>
                <w:rFonts w:hint="eastAsia" w:ascii="Arial" w:hAnsi="Arial" w:eastAsiaTheme="minorEastAsia"/>
                <w:b w:val="0"/>
                <w:bCs/>
                <w:kern w:val="2"/>
                <w:sz w:val="21"/>
              </w:rPr>
              <w:t>0.64</w:t>
            </w:r>
          </w:p>
        </w:tc>
        <w:tc>
          <w:tcPr>
            <w:tcW w:w="850"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b w:val="0"/>
                <w:bCs/>
                <w:kern w:val="2"/>
                <w:sz w:val="21"/>
              </w:rPr>
            </w:pPr>
            <w:r>
              <w:rPr>
                <w:rFonts w:hint="eastAsia" w:ascii="Arial" w:hAnsi="Arial" w:eastAsiaTheme="minorEastAsia"/>
                <w:b w:val="0"/>
                <w:bCs/>
                <w:kern w:val="2"/>
                <w:sz w:val="21"/>
              </w:rPr>
              <w:t>0.64</w:t>
            </w:r>
          </w:p>
        </w:tc>
        <w:tc>
          <w:tcPr>
            <w:tcW w:w="88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85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82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1800"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vMerge w:val="restart"/>
            <w:tcBorders>
              <w:top w:val="nil"/>
              <w:left w:val="single" w:color="auto" w:sz="8" w:space="0"/>
              <w:bottom w:val="single" w:color="auto" w:sz="8" w:space="0"/>
              <w:right w:val="single" w:color="auto" w:sz="8" w:space="0"/>
            </w:tcBorders>
            <w:vAlign w:val="bottom"/>
          </w:tcPr>
          <w:p>
            <w:pPr>
              <w:spacing w:line="240" w:lineRule="exact"/>
              <w:rPr>
                <w:rFonts w:ascii="宋体" w:hAnsi="宋体"/>
                <w:b/>
                <w:kern w:val="2"/>
                <w:sz w:val="21"/>
              </w:rPr>
            </w:pPr>
          </w:p>
        </w:tc>
        <w:tc>
          <w:tcPr>
            <w:tcW w:w="708"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1134" w:type="dxa"/>
            <w:gridSpan w:val="3"/>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1276"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1134"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709"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567"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709" w:type="dxa"/>
            <w:vMerge w:val="continue"/>
            <w:tcBorders>
              <w:top w:val="nil"/>
              <w:left w:val="nil"/>
              <w:bottom w:val="nil"/>
              <w:right w:val="single" w:color="auto" w:sz="8" w:space="0"/>
            </w:tcBorders>
            <w:vAlign w:val="center"/>
          </w:tcPr>
          <w:p>
            <w:pPr>
              <w:rPr>
                <w:rFonts w:ascii="Arial" w:hAnsi="Arial" w:eastAsia="Arial"/>
                <w:b/>
                <w:kern w:val="2"/>
                <w:sz w:val="21"/>
              </w:rPr>
            </w:pPr>
          </w:p>
        </w:tc>
        <w:tc>
          <w:tcPr>
            <w:tcW w:w="708" w:type="dxa"/>
            <w:vMerge w:val="continue"/>
            <w:tcBorders>
              <w:top w:val="nil"/>
              <w:left w:val="nil"/>
              <w:bottom w:val="nil"/>
              <w:right w:val="single" w:color="auto" w:sz="8" w:space="0"/>
            </w:tcBorders>
            <w:vAlign w:val="center"/>
          </w:tcPr>
          <w:p>
            <w:pPr>
              <w:rPr>
                <w:rFonts w:ascii="Arial" w:hAnsi="Arial" w:eastAsia="Arial"/>
                <w:b/>
                <w:kern w:val="2"/>
                <w:sz w:val="21"/>
              </w:rPr>
            </w:pPr>
          </w:p>
        </w:tc>
        <w:tc>
          <w:tcPr>
            <w:tcW w:w="850" w:type="dxa"/>
            <w:vMerge w:val="continue"/>
            <w:tcBorders>
              <w:top w:val="nil"/>
              <w:left w:val="nil"/>
              <w:bottom w:val="nil"/>
              <w:right w:val="single" w:color="auto" w:sz="8" w:space="0"/>
            </w:tcBorders>
            <w:vAlign w:val="center"/>
          </w:tcPr>
          <w:p>
            <w:pPr>
              <w:rPr>
                <w:rFonts w:ascii="Arial" w:hAnsi="Arial" w:eastAsia="Arial"/>
                <w:b/>
                <w:kern w:val="2"/>
                <w:sz w:val="21"/>
              </w:rPr>
            </w:pPr>
          </w:p>
        </w:tc>
        <w:tc>
          <w:tcPr>
            <w:tcW w:w="88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85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51" w:hRule="atLeast"/>
          <w:jc w:val="center"/>
        </w:trPr>
        <w:tc>
          <w:tcPr>
            <w:tcW w:w="2127" w:type="dxa"/>
            <w:vMerge w:val="continue"/>
            <w:tcBorders>
              <w:top w:val="nil"/>
              <w:left w:val="single" w:color="auto" w:sz="8" w:space="0"/>
              <w:bottom w:val="single" w:color="auto" w:sz="8" w:space="0"/>
              <w:right w:val="single" w:color="auto" w:sz="8" w:space="0"/>
            </w:tcBorders>
            <w:vAlign w:val="center"/>
          </w:tcPr>
          <w:p>
            <w:pPr>
              <w:rPr>
                <w:rFonts w:ascii="宋体" w:hAnsi="宋体"/>
                <w:b/>
                <w:kern w:val="2"/>
                <w:sz w:val="21"/>
              </w:rPr>
            </w:pP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1134" w:type="dxa"/>
            <w:gridSpan w:val="3"/>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1134"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567"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88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3"/>
              </w:rPr>
            </w:pPr>
          </w:p>
        </w:tc>
      </w:tr>
      <w:tr>
        <w:tblPrEx>
          <w:tblLayout w:type="fixed"/>
          <w:tblCellMar>
            <w:top w:w="0" w:type="dxa"/>
            <w:left w:w="0" w:type="dxa"/>
            <w:bottom w:w="0" w:type="dxa"/>
            <w:right w:w="0" w:type="dxa"/>
          </w:tblCellMar>
        </w:tblPrEx>
        <w:trPr>
          <w:gridAfter w:val="1"/>
          <w:wAfter w:w="433" w:type="dxa"/>
          <w:trHeight w:val="295" w:hRule="atLeast"/>
          <w:jc w:val="center"/>
        </w:trPr>
        <w:tc>
          <w:tcPr>
            <w:tcW w:w="2127" w:type="dxa"/>
            <w:vMerge w:val="restart"/>
            <w:tcBorders>
              <w:top w:val="nil"/>
              <w:left w:val="single" w:color="auto" w:sz="8" w:space="0"/>
              <w:bottom w:val="nil"/>
              <w:right w:val="single" w:color="auto" w:sz="8" w:space="0"/>
            </w:tcBorders>
            <w:vAlign w:val="bottom"/>
          </w:tcPr>
          <w:p>
            <w:pPr>
              <w:spacing w:line="240" w:lineRule="exact"/>
              <w:rPr>
                <w:rFonts w:ascii="宋体" w:hAnsi="宋体"/>
                <w:kern w:val="2"/>
                <w:sz w:val="21"/>
              </w:rPr>
            </w:pPr>
            <w:r>
              <w:rPr>
                <w:rFonts w:hint="eastAsia" w:ascii="宋体" w:hAnsi="宋体"/>
                <w:kern w:val="2"/>
                <w:sz w:val="21"/>
              </w:rPr>
              <w:t>办公用品购置</w:t>
            </w:r>
          </w:p>
        </w:tc>
        <w:tc>
          <w:tcPr>
            <w:tcW w:w="708"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20</w:t>
            </w:r>
          </w:p>
        </w:tc>
        <w:tc>
          <w:tcPr>
            <w:tcW w:w="1134" w:type="dxa"/>
            <w:gridSpan w:val="3"/>
            <w:tcBorders>
              <w:top w:val="nil"/>
              <w:left w:val="nil"/>
              <w:bottom w:val="nil"/>
              <w:right w:val="single" w:color="auto" w:sz="8" w:space="0"/>
            </w:tcBorders>
            <w:vAlign w:val="bottom"/>
          </w:tcPr>
          <w:p>
            <w:pPr>
              <w:spacing w:line="240" w:lineRule="exact"/>
              <w:rPr>
                <w:rFonts w:ascii="宋体" w:hAnsi="宋体"/>
                <w:kern w:val="2"/>
                <w:sz w:val="21"/>
              </w:rPr>
            </w:pPr>
            <w:r>
              <w:rPr>
                <w:rFonts w:hint="eastAsia" w:ascii="Times New Roman" w:hAnsi="Times New Roman" w:eastAsiaTheme="minorEastAsia"/>
                <w:kern w:val="2"/>
                <w:sz w:val="24"/>
              </w:rPr>
              <w:t>家具用具</w:t>
            </w:r>
          </w:p>
        </w:tc>
        <w:tc>
          <w:tcPr>
            <w:tcW w:w="1276" w:type="dxa"/>
            <w:vMerge w:val="restart"/>
            <w:tcBorders>
              <w:top w:val="nil"/>
              <w:left w:val="nil"/>
              <w:bottom w:val="nil"/>
              <w:right w:val="single" w:color="auto" w:sz="8" w:space="0"/>
            </w:tcBorders>
            <w:vAlign w:val="bottom"/>
          </w:tcPr>
          <w:p>
            <w:pPr>
              <w:spacing w:line="0" w:lineRule="atLeast"/>
              <w:ind w:left="80"/>
              <w:rPr>
                <w:rFonts w:hint="eastAsia" w:ascii="Arial" w:hAnsi="Arial" w:eastAsiaTheme="minorEastAsia"/>
                <w:kern w:val="2"/>
                <w:sz w:val="21"/>
              </w:rPr>
            </w:pPr>
            <w:r>
              <w:rPr>
                <w:rFonts w:ascii="Arial" w:hAnsi="Arial" w:eastAsia="Arial"/>
                <w:kern w:val="2"/>
                <w:sz w:val="21"/>
              </w:rPr>
              <w:t>A0</w:t>
            </w:r>
            <w:r>
              <w:rPr>
                <w:rFonts w:hint="eastAsia" w:ascii="Arial" w:hAnsi="Arial" w:eastAsiaTheme="minorEastAsia"/>
                <w:kern w:val="2"/>
                <w:sz w:val="21"/>
              </w:rPr>
              <w:t>6</w:t>
            </w:r>
          </w:p>
        </w:tc>
        <w:tc>
          <w:tcPr>
            <w:tcW w:w="1134" w:type="dxa"/>
            <w:vMerge w:val="restart"/>
            <w:tcBorders>
              <w:top w:val="nil"/>
              <w:left w:val="nil"/>
              <w:bottom w:val="nil"/>
              <w:right w:val="single" w:color="auto" w:sz="8" w:space="0"/>
            </w:tcBorders>
            <w:vAlign w:val="bottom"/>
          </w:tcPr>
          <w:p>
            <w:pPr>
              <w:spacing w:line="240" w:lineRule="exact"/>
              <w:ind w:left="100"/>
              <w:rPr>
                <w:rFonts w:ascii="宋体" w:hAnsi="宋体"/>
                <w:kern w:val="2"/>
                <w:sz w:val="21"/>
              </w:rPr>
            </w:pPr>
            <w:r>
              <w:rPr>
                <w:rFonts w:hint="eastAsia" w:ascii="宋体" w:hAnsi="宋体"/>
                <w:kern w:val="2"/>
                <w:sz w:val="21"/>
              </w:rPr>
              <w:t>把</w:t>
            </w:r>
          </w:p>
        </w:tc>
        <w:tc>
          <w:tcPr>
            <w:tcW w:w="709" w:type="dxa"/>
            <w:vMerge w:val="restart"/>
            <w:tcBorders>
              <w:top w:val="nil"/>
              <w:left w:val="nil"/>
              <w:bottom w:val="nil"/>
              <w:right w:val="single" w:color="auto" w:sz="8" w:space="0"/>
            </w:tcBorders>
            <w:vAlign w:val="bottom"/>
          </w:tcPr>
          <w:p>
            <w:pPr>
              <w:spacing w:line="0" w:lineRule="atLeast"/>
              <w:ind w:right="17"/>
              <w:jc w:val="right"/>
              <w:rPr>
                <w:rFonts w:hint="eastAsia" w:ascii="Arial" w:hAnsi="Arial" w:eastAsiaTheme="minorEastAsia"/>
                <w:kern w:val="2"/>
                <w:sz w:val="21"/>
              </w:rPr>
            </w:pPr>
            <w:r>
              <w:rPr>
                <w:rFonts w:hint="eastAsia" w:ascii="Arial" w:hAnsi="Arial" w:eastAsiaTheme="minorEastAsia"/>
                <w:kern w:val="2"/>
                <w:sz w:val="21"/>
              </w:rPr>
              <w:t>7</w:t>
            </w:r>
          </w:p>
        </w:tc>
        <w:tc>
          <w:tcPr>
            <w:tcW w:w="567"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0.07</w:t>
            </w:r>
          </w:p>
        </w:tc>
        <w:tc>
          <w:tcPr>
            <w:tcW w:w="709"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0.49</w:t>
            </w:r>
          </w:p>
        </w:tc>
        <w:tc>
          <w:tcPr>
            <w:tcW w:w="708"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0.49</w:t>
            </w:r>
          </w:p>
        </w:tc>
        <w:tc>
          <w:tcPr>
            <w:tcW w:w="850" w:type="dxa"/>
            <w:vMerge w:val="restart"/>
            <w:tcBorders>
              <w:top w:val="nil"/>
              <w:left w:val="nil"/>
              <w:bottom w:val="nil"/>
              <w:right w:val="single" w:color="auto" w:sz="8" w:space="0"/>
            </w:tcBorders>
            <w:vAlign w:val="bottom"/>
          </w:tcPr>
          <w:p>
            <w:pPr>
              <w:spacing w:line="0" w:lineRule="atLeast"/>
              <w:ind w:right="14"/>
              <w:jc w:val="right"/>
              <w:rPr>
                <w:rFonts w:hint="eastAsia" w:ascii="Arial" w:hAnsi="Arial" w:eastAsiaTheme="minorEastAsia"/>
                <w:kern w:val="2"/>
                <w:sz w:val="21"/>
              </w:rPr>
            </w:pPr>
            <w:r>
              <w:rPr>
                <w:rFonts w:hint="eastAsia" w:ascii="Arial" w:hAnsi="Arial" w:eastAsiaTheme="minorEastAsia"/>
                <w:kern w:val="2"/>
                <w:sz w:val="21"/>
              </w:rPr>
              <w:t>0.49</w:t>
            </w:r>
          </w:p>
        </w:tc>
        <w:tc>
          <w:tcPr>
            <w:tcW w:w="88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85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82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c>
          <w:tcPr>
            <w:tcW w:w="1800"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24"/>
              </w:rPr>
            </w:pPr>
          </w:p>
        </w:tc>
      </w:tr>
      <w:tr>
        <w:tblPrEx>
          <w:tblLayout w:type="fixed"/>
          <w:tblCellMar>
            <w:top w:w="0" w:type="dxa"/>
            <w:left w:w="0" w:type="dxa"/>
            <w:bottom w:w="0" w:type="dxa"/>
            <w:right w:w="0" w:type="dxa"/>
          </w:tblCellMar>
        </w:tblPrEx>
        <w:trPr>
          <w:gridAfter w:val="1"/>
          <w:wAfter w:w="433" w:type="dxa"/>
          <w:trHeight w:val="151" w:hRule="atLeast"/>
          <w:jc w:val="center"/>
        </w:trPr>
        <w:tc>
          <w:tcPr>
            <w:tcW w:w="2127" w:type="dxa"/>
            <w:vMerge w:val="continue"/>
            <w:tcBorders>
              <w:top w:val="nil"/>
              <w:left w:val="single" w:color="auto" w:sz="8" w:space="0"/>
              <w:bottom w:val="nil"/>
              <w:right w:val="single" w:color="auto" w:sz="8" w:space="0"/>
            </w:tcBorders>
            <w:vAlign w:val="center"/>
          </w:tcPr>
          <w:p>
            <w:pPr>
              <w:rPr>
                <w:rFonts w:ascii="宋体" w:hAnsi="宋体"/>
                <w:kern w:val="2"/>
                <w:sz w:val="21"/>
              </w:rPr>
            </w:pPr>
          </w:p>
        </w:tc>
        <w:tc>
          <w:tcPr>
            <w:tcW w:w="708"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1134" w:type="dxa"/>
            <w:gridSpan w:val="3"/>
            <w:vMerge w:val="restart"/>
            <w:tcBorders>
              <w:top w:val="nil"/>
              <w:left w:val="nil"/>
              <w:bottom w:val="single" w:color="auto" w:sz="8" w:space="0"/>
              <w:right w:val="single" w:color="auto" w:sz="8" w:space="0"/>
            </w:tcBorders>
            <w:vAlign w:val="bottom"/>
          </w:tcPr>
          <w:p>
            <w:pPr>
              <w:spacing w:line="240" w:lineRule="exact"/>
              <w:rPr>
                <w:rFonts w:ascii="宋体" w:hAnsi="宋体"/>
                <w:kern w:val="2"/>
                <w:sz w:val="21"/>
              </w:rPr>
            </w:pPr>
          </w:p>
        </w:tc>
        <w:tc>
          <w:tcPr>
            <w:tcW w:w="1276"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1134" w:type="dxa"/>
            <w:vMerge w:val="continue"/>
            <w:tcBorders>
              <w:top w:val="nil"/>
              <w:left w:val="nil"/>
              <w:bottom w:val="nil"/>
              <w:right w:val="single" w:color="auto" w:sz="8" w:space="0"/>
            </w:tcBorders>
            <w:vAlign w:val="center"/>
          </w:tcPr>
          <w:p>
            <w:pPr>
              <w:rPr>
                <w:rFonts w:ascii="宋体" w:hAnsi="宋体"/>
                <w:kern w:val="2"/>
                <w:sz w:val="21"/>
              </w:rPr>
            </w:pPr>
          </w:p>
        </w:tc>
        <w:tc>
          <w:tcPr>
            <w:tcW w:w="709"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567"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709"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708"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850" w:type="dxa"/>
            <w:vMerge w:val="continue"/>
            <w:tcBorders>
              <w:top w:val="nil"/>
              <w:left w:val="nil"/>
              <w:bottom w:val="nil"/>
              <w:right w:val="single" w:color="auto" w:sz="8" w:space="0"/>
            </w:tcBorders>
            <w:vAlign w:val="center"/>
          </w:tcPr>
          <w:p>
            <w:pPr>
              <w:rPr>
                <w:rFonts w:ascii="Arial" w:hAnsi="Arial" w:eastAsia="Arial"/>
                <w:kern w:val="2"/>
                <w:sz w:val="21"/>
              </w:rPr>
            </w:pPr>
          </w:p>
        </w:tc>
        <w:tc>
          <w:tcPr>
            <w:tcW w:w="88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85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82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1800"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r>
      <w:tr>
        <w:tblPrEx>
          <w:tblLayout w:type="fixed"/>
          <w:tblCellMar>
            <w:top w:w="0" w:type="dxa"/>
            <w:left w:w="0" w:type="dxa"/>
            <w:bottom w:w="0" w:type="dxa"/>
            <w:right w:w="0" w:type="dxa"/>
          </w:tblCellMar>
        </w:tblPrEx>
        <w:trPr>
          <w:gridAfter w:val="1"/>
          <w:wAfter w:w="433" w:type="dxa"/>
          <w:trHeight w:val="262" w:hRule="atLeast"/>
          <w:jc w:val="center"/>
        </w:trPr>
        <w:tc>
          <w:tcPr>
            <w:tcW w:w="2127" w:type="dxa"/>
            <w:tcBorders>
              <w:top w:val="nil"/>
              <w:left w:val="single" w:color="auto" w:sz="8" w:space="0"/>
              <w:bottom w:val="nil"/>
              <w:right w:val="single" w:color="auto" w:sz="8" w:space="0"/>
            </w:tcBorders>
            <w:vAlign w:val="center"/>
          </w:tcPr>
          <w:p>
            <w:pPr>
              <w:rPr>
                <w:rFonts w:ascii="宋体" w:hAnsi="宋体"/>
                <w:kern w:val="2"/>
                <w:sz w:val="21"/>
              </w:rPr>
            </w:pPr>
          </w:p>
        </w:tc>
        <w:tc>
          <w:tcPr>
            <w:tcW w:w="708" w:type="dxa"/>
            <w:tcBorders>
              <w:top w:val="nil"/>
              <w:left w:val="nil"/>
              <w:bottom w:val="nil"/>
              <w:right w:val="single" w:color="auto" w:sz="8" w:space="0"/>
            </w:tcBorders>
            <w:vAlign w:val="center"/>
          </w:tcPr>
          <w:p>
            <w:pPr>
              <w:rPr>
                <w:rFonts w:hint="eastAsia" w:ascii="Arial" w:hAnsi="Arial" w:eastAsiaTheme="minorEastAsia"/>
                <w:kern w:val="2"/>
                <w:sz w:val="21"/>
              </w:rPr>
            </w:pPr>
          </w:p>
        </w:tc>
        <w:tc>
          <w:tcPr>
            <w:tcW w:w="1134" w:type="dxa"/>
            <w:gridSpan w:val="3"/>
            <w:vMerge w:val="continue"/>
            <w:tcBorders>
              <w:top w:val="nil"/>
              <w:left w:val="nil"/>
              <w:bottom w:val="single" w:color="auto" w:sz="8" w:space="0"/>
              <w:right w:val="single" w:color="auto" w:sz="8" w:space="0"/>
            </w:tcBorders>
            <w:vAlign w:val="bottom"/>
          </w:tcPr>
          <w:p>
            <w:pPr>
              <w:spacing w:line="240" w:lineRule="exact"/>
              <w:rPr>
                <w:rFonts w:ascii="宋体" w:hAnsi="宋体"/>
                <w:kern w:val="2"/>
                <w:sz w:val="21"/>
              </w:rPr>
            </w:pPr>
          </w:p>
        </w:tc>
        <w:tc>
          <w:tcPr>
            <w:tcW w:w="1276" w:type="dxa"/>
            <w:tcBorders>
              <w:top w:val="nil"/>
              <w:left w:val="nil"/>
              <w:bottom w:val="nil"/>
              <w:right w:val="single" w:color="auto" w:sz="8" w:space="0"/>
            </w:tcBorders>
            <w:vAlign w:val="center"/>
          </w:tcPr>
          <w:p>
            <w:pPr>
              <w:rPr>
                <w:rFonts w:ascii="Arial" w:hAnsi="Arial" w:eastAsia="Arial"/>
                <w:kern w:val="2"/>
                <w:sz w:val="21"/>
              </w:rPr>
            </w:pPr>
          </w:p>
        </w:tc>
        <w:tc>
          <w:tcPr>
            <w:tcW w:w="1134" w:type="dxa"/>
            <w:tcBorders>
              <w:top w:val="nil"/>
              <w:left w:val="nil"/>
              <w:bottom w:val="nil"/>
              <w:right w:val="single" w:color="auto" w:sz="8" w:space="0"/>
            </w:tcBorders>
            <w:vAlign w:val="center"/>
          </w:tcPr>
          <w:p>
            <w:pPr>
              <w:rPr>
                <w:rFonts w:ascii="宋体" w:hAnsi="宋体"/>
                <w:kern w:val="2"/>
                <w:sz w:val="21"/>
              </w:rPr>
            </w:pPr>
          </w:p>
        </w:tc>
        <w:tc>
          <w:tcPr>
            <w:tcW w:w="709" w:type="dxa"/>
            <w:tcBorders>
              <w:top w:val="nil"/>
              <w:left w:val="nil"/>
              <w:bottom w:val="nil"/>
              <w:right w:val="single" w:color="auto" w:sz="8" w:space="0"/>
            </w:tcBorders>
            <w:vAlign w:val="center"/>
          </w:tcPr>
          <w:p>
            <w:pPr>
              <w:rPr>
                <w:rFonts w:ascii="Arial" w:hAnsi="Arial" w:eastAsia="Arial"/>
                <w:kern w:val="2"/>
                <w:sz w:val="21"/>
              </w:rPr>
            </w:pPr>
          </w:p>
        </w:tc>
        <w:tc>
          <w:tcPr>
            <w:tcW w:w="567" w:type="dxa"/>
            <w:tcBorders>
              <w:top w:val="nil"/>
              <w:left w:val="nil"/>
              <w:bottom w:val="nil"/>
              <w:right w:val="single" w:color="auto" w:sz="8" w:space="0"/>
            </w:tcBorders>
            <w:vAlign w:val="center"/>
          </w:tcPr>
          <w:p>
            <w:pPr>
              <w:rPr>
                <w:rFonts w:ascii="Arial" w:hAnsi="Arial" w:eastAsia="Arial"/>
                <w:kern w:val="2"/>
                <w:sz w:val="21"/>
              </w:rPr>
            </w:pPr>
          </w:p>
        </w:tc>
        <w:tc>
          <w:tcPr>
            <w:tcW w:w="709" w:type="dxa"/>
            <w:tcBorders>
              <w:top w:val="nil"/>
              <w:left w:val="nil"/>
              <w:bottom w:val="nil"/>
              <w:right w:val="single" w:color="auto" w:sz="8" w:space="0"/>
            </w:tcBorders>
            <w:vAlign w:val="center"/>
          </w:tcPr>
          <w:p>
            <w:pPr>
              <w:rPr>
                <w:rFonts w:ascii="Arial" w:hAnsi="Arial" w:eastAsia="Arial"/>
                <w:kern w:val="2"/>
                <w:sz w:val="21"/>
              </w:rPr>
            </w:pPr>
          </w:p>
        </w:tc>
        <w:tc>
          <w:tcPr>
            <w:tcW w:w="708" w:type="dxa"/>
            <w:tcBorders>
              <w:top w:val="nil"/>
              <w:left w:val="nil"/>
              <w:bottom w:val="nil"/>
              <w:right w:val="single" w:color="auto" w:sz="8" w:space="0"/>
            </w:tcBorders>
            <w:vAlign w:val="center"/>
          </w:tcPr>
          <w:p>
            <w:pPr>
              <w:rPr>
                <w:rFonts w:ascii="Arial" w:hAnsi="Arial" w:eastAsia="Arial"/>
                <w:kern w:val="2"/>
                <w:sz w:val="21"/>
              </w:rPr>
            </w:pPr>
          </w:p>
        </w:tc>
        <w:tc>
          <w:tcPr>
            <w:tcW w:w="850" w:type="dxa"/>
            <w:tcBorders>
              <w:top w:val="nil"/>
              <w:left w:val="nil"/>
              <w:bottom w:val="nil"/>
              <w:right w:val="single" w:color="auto" w:sz="8" w:space="0"/>
            </w:tcBorders>
            <w:vAlign w:val="center"/>
          </w:tcPr>
          <w:p>
            <w:pPr>
              <w:rPr>
                <w:rFonts w:ascii="Arial" w:hAnsi="Arial" w:eastAsia="Arial"/>
                <w:kern w:val="2"/>
                <w:sz w:val="21"/>
              </w:rPr>
            </w:pPr>
          </w:p>
        </w:tc>
        <w:tc>
          <w:tcPr>
            <w:tcW w:w="88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85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825"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c>
          <w:tcPr>
            <w:tcW w:w="1800" w:type="dxa"/>
            <w:tcBorders>
              <w:top w:val="nil"/>
              <w:left w:val="nil"/>
              <w:bottom w:val="nil"/>
              <w:right w:val="single" w:color="auto" w:sz="8" w:space="0"/>
            </w:tcBorders>
            <w:vAlign w:val="bottom"/>
          </w:tcPr>
          <w:p>
            <w:pPr>
              <w:spacing w:line="0" w:lineRule="atLeast"/>
              <w:rPr>
                <w:rFonts w:ascii="Times New Roman" w:hAnsi="Times New Roman" w:eastAsia="Times New Roman"/>
                <w:kern w:val="2"/>
                <w:sz w:val="13"/>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134" w:type="dxa"/>
            <w:gridSpan w:val="3"/>
            <w:vMerge w:val="continue"/>
            <w:tcBorders>
              <w:top w:val="nil"/>
              <w:left w:val="nil"/>
              <w:bottom w:val="single" w:color="auto" w:sz="8" w:space="0"/>
              <w:right w:val="single" w:color="auto" w:sz="8" w:space="0"/>
            </w:tcBorders>
            <w:vAlign w:val="center"/>
          </w:tcPr>
          <w:p>
            <w:pPr>
              <w:rPr>
                <w:rFonts w:ascii="宋体" w:hAnsi="宋体"/>
                <w:kern w:val="2"/>
                <w:sz w:val="21"/>
              </w:rPr>
            </w:pP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134"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567"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12"/>
              </w:rPr>
            </w:pPr>
            <w:r>
              <w:rPr>
                <w:rFonts w:hint="eastAsia" w:ascii="宋体" w:hAnsi="宋体"/>
                <w:kern w:val="2"/>
                <w:sz w:val="21"/>
              </w:rPr>
              <w:t>办公用品购置</w:t>
            </w:r>
          </w:p>
          <w:p>
            <w:pPr>
              <w:spacing w:line="0" w:lineRule="atLeast"/>
              <w:rPr>
                <w:rFonts w:hint="eastAsia" w:ascii="Times New Roman" w:hAnsi="Times New Roman" w:eastAsiaTheme="minorEastAsia"/>
                <w:kern w:val="2"/>
                <w:sz w:val="12"/>
              </w:rPr>
            </w:pPr>
          </w:p>
        </w:tc>
        <w:tc>
          <w:tcPr>
            <w:tcW w:w="708" w:type="dxa"/>
            <w:tcBorders>
              <w:top w:val="nil"/>
              <w:left w:val="nil"/>
              <w:bottom w:val="single" w:color="auto" w:sz="8" w:space="0"/>
              <w:right w:val="single" w:color="auto" w:sz="8" w:space="0"/>
            </w:tcBorders>
            <w:vAlign w:val="bottom"/>
          </w:tcPr>
          <w:p>
            <w:pPr>
              <w:spacing w:line="0" w:lineRule="atLeast"/>
              <w:ind w:firstLine="280" w:firstLineChars="100"/>
              <w:rPr>
                <w:rFonts w:hint="eastAsia" w:ascii="Times New Roman" w:hAnsi="Times New Roman" w:eastAsiaTheme="minorEastAsia"/>
                <w:kern w:val="2"/>
                <w:sz w:val="28"/>
                <w:szCs w:val="28"/>
              </w:rPr>
            </w:pPr>
            <w:r>
              <w:rPr>
                <w:rFonts w:hint="eastAsia" w:ascii="Times New Roman" w:hAnsi="Times New Roman" w:eastAsiaTheme="minorEastAsia"/>
                <w:kern w:val="2"/>
                <w:sz w:val="28"/>
                <w:szCs w:val="28"/>
              </w:rPr>
              <w:t>20</w:t>
            </w:r>
          </w:p>
        </w:tc>
        <w:tc>
          <w:tcPr>
            <w:tcW w:w="1134" w:type="dxa"/>
            <w:gridSpan w:val="3"/>
            <w:tcBorders>
              <w:top w:val="nil"/>
              <w:left w:val="nil"/>
              <w:bottom w:val="single" w:color="auto" w:sz="8" w:space="0"/>
              <w:right w:val="single" w:color="auto" w:sz="8" w:space="0"/>
            </w:tcBorders>
            <w:vAlign w:val="center"/>
          </w:tcPr>
          <w:p>
            <w:pPr>
              <w:rPr>
                <w:rFonts w:ascii="宋体" w:hAnsi="宋体"/>
                <w:kern w:val="2"/>
                <w:sz w:val="21"/>
              </w:rPr>
            </w:pPr>
            <w:r>
              <w:rPr>
                <w:rFonts w:hint="eastAsia" w:ascii="Times New Roman" w:hAnsi="Times New Roman" w:eastAsiaTheme="minorEastAsia"/>
                <w:kern w:val="2"/>
                <w:sz w:val="24"/>
              </w:rPr>
              <w:t>家具用具</w:t>
            </w: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szCs w:val="24"/>
              </w:rPr>
            </w:pPr>
            <w:r>
              <w:rPr>
                <w:rFonts w:ascii="Arial" w:hAnsi="Arial" w:eastAsia="Arial"/>
                <w:kern w:val="2"/>
                <w:sz w:val="21"/>
              </w:rPr>
              <w:t>A0</w:t>
            </w:r>
            <w:r>
              <w:rPr>
                <w:rFonts w:hint="eastAsia" w:ascii="Arial" w:hAnsi="Arial" w:eastAsiaTheme="minorEastAsia"/>
                <w:kern w:val="2"/>
                <w:sz w:val="21"/>
              </w:rPr>
              <w:t>6</w:t>
            </w:r>
          </w:p>
        </w:tc>
        <w:tc>
          <w:tcPr>
            <w:tcW w:w="1134"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个</w:t>
            </w:r>
          </w:p>
        </w:tc>
        <w:tc>
          <w:tcPr>
            <w:tcW w:w="709" w:type="dxa"/>
            <w:tcBorders>
              <w:top w:val="nil"/>
              <w:left w:val="nil"/>
              <w:bottom w:val="single" w:color="auto" w:sz="8" w:space="0"/>
              <w:right w:val="single" w:color="auto" w:sz="8" w:space="0"/>
            </w:tcBorders>
            <w:vAlign w:val="bottom"/>
          </w:tcPr>
          <w:p>
            <w:pPr>
              <w:spacing w:line="0" w:lineRule="atLeast"/>
              <w:rPr>
                <w:rFonts w:hint="eastAsia" w:asciiTheme="majorEastAsia" w:hAnsiTheme="majorEastAsia" w:eastAsiaTheme="majorEastAsia"/>
                <w:kern w:val="2"/>
                <w:sz w:val="24"/>
                <w:szCs w:val="24"/>
              </w:rPr>
            </w:pPr>
            <w:r>
              <w:rPr>
                <w:rFonts w:hint="eastAsia" w:asciiTheme="majorEastAsia" w:hAnsiTheme="majorEastAsia" w:eastAsiaTheme="majorEastAsia"/>
                <w:kern w:val="2"/>
                <w:sz w:val="24"/>
                <w:szCs w:val="24"/>
              </w:rPr>
              <w:t>7</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0.15</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1.05</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1.05</w:t>
            </w:r>
          </w:p>
        </w:tc>
        <w:tc>
          <w:tcPr>
            <w:tcW w:w="850"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1.05</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12"/>
              </w:rPr>
            </w:pPr>
            <w:r>
              <w:rPr>
                <w:rFonts w:hint="eastAsia" w:ascii="宋体" w:hAnsi="宋体"/>
                <w:kern w:val="2"/>
                <w:sz w:val="21"/>
              </w:rPr>
              <w:t>办公用品购置</w:t>
            </w:r>
          </w:p>
          <w:p>
            <w:pPr>
              <w:spacing w:line="0" w:lineRule="atLeast"/>
              <w:rPr>
                <w:rFonts w:hint="eastAsia" w:ascii="Times New Roman" w:hAnsi="Times New Roman" w:eastAsiaTheme="minorEastAsia"/>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20</w:t>
            </w:r>
          </w:p>
        </w:tc>
        <w:tc>
          <w:tcPr>
            <w:tcW w:w="1134" w:type="dxa"/>
            <w:gridSpan w:val="3"/>
            <w:tcBorders>
              <w:top w:val="nil"/>
              <w:left w:val="nil"/>
              <w:bottom w:val="single" w:color="auto" w:sz="8" w:space="0"/>
              <w:right w:val="single" w:color="auto" w:sz="8" w:space="0"/>
            </w:tcBorders>
            <w:vAlign w:val="center"/>
          </w:tcPr>
          <w:p>
            <w:pPr>
              <w:rPr>
                <w:rFonts w:ascii="宋体" w:hAnsi="宋体"/>
                <w:kern w:val="2"/>
                <w:sz w:val="21"/>
              </w:rPr>
            </w:pPr>
            <w:r>
              <w:rPr>
                <w:rFonts w:hint="eastAsia" w:ascii="Times New Roman" w:hAnsi="Times New Roman" w:eastAsiaTheme="minorEastAsia"/>
                <w:kern w:val="2"/>
                <w:sz w:val="24"/>
              </w:rPr>
              <w:t>家具用具</w:t>
            </w: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szCs w:val="24"/>
              </w:rPr>
            </w:pPr>
            <w:r>
              <w:rPr>
                <w:rFonts w:ascii="Arial" w:hAnsi="Arial" w:eastAsia="Arial"/>
                <w:kern w:val="2"/>
                <w:sz w:val="21"/>
              </w:rPr>
              <w:t>A0</w:t>
            </w:r>
            <w:r>
              <w:rPr>
                <w:rFonts w:hint="eastAsia" w:ascii="Arial" w:hAnsi="Arial" w:eastAsiaTheme="minorEastAsia"/>
                <w:kern w:val="2"/>
                <w:sz w:val="21"/>
              </w:rPr>
              <w:t>6</w:t>
            </w:r>
          </w:p>
        </w:tc>
        <w:tc>
          <w:tcPr>
            <w:tcW w:w="1134"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组</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8</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0.08</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0.64</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0.64</w:t>
            </w:r>
          </w:p>
        </w:tc>
        <w:tc>
          <w:tcPr>
            <w:tcW w:w="850"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0.64</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12"/>
              </w:rPr>
            </w:pPr>
            <w:r>
              <w:rPr>
                <w:rFonts w:hint="eastAsia" w:ascii="宋体" w:hAnsi="宋体"/>
                <w:kern w:val="2"/>
                <w:sz w:val="21"/>
              </w:rPr>
              <w:t>办公用品购置</w:t>
            </w:r>
          </w:p>
          <w:p>
            <w:pPr>
              <w:spacing w:line="0" w:lineRule="atLeast"/>
              <w:rPr>
                <w:rFonts w:hint="eastAsia" w:ascii="Times New Roman" w:hAnsi="Times New Roman" w:eastAsiaTheme="minorEastAsia"/>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20</w:t>
            </w:r>
          </w:p>
        </w:tc>
        <w:tc>
          <w:tcPr>
            <w:tcW w:w="1134" w:type="dxa"/>
            <w:gridSpan w:val="3"/>
            <w:tcBorders>
              <w:top w:val="nil"/>
              <w:left w:val="nil"/>
              <w:bottom w:val="single" w:color="auto" w:sz="8" w:space="0"/>
              <w:right w:val="single" w:color="auto" w:sz="8" w:space="0"/>
            </w:tcBorders>
            <w:vAlign w:val="center"/>
          </w:tcPr>
          <w:p>
            <w:pPr>
              <w:rPr>
                <w:rFonts w:ascii="宋体" w:hAnsi="宋体"/>
                <w:kern w:val="2"/>
                <w:sz w:val="21"/>
              </w:rPr>
            </w:pPr>
            <w:r>
              <w:rPr>
                <w:rFonts w:hint="eastAsia" w:ascii="Times New Roman" w:hAnsi="Times New Roman" w:eastAsiaTheme="minorEastAsia"/>
                <w:kern w:val="2"/>
                <w:sz w:val="24"/>
              </w:rPr>
              <w:t>家具用具</w:t>
            </w: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szCs w:val="24"/>
              </w:rPr>
            </w:pPr>
            <w:r>
              <w:rPr>
                <w:rFonts w:ascii="Arial" w:hAnsi="Arial" w:eastAsia="Arial"/>
                <w:kern w:val="2"/>
                <w:sz w:val="21"/>
              </w:rPr>
              <w:t>A0</w:t>
            </w:r>
            <w:r>
              <w:rPr>
                <w:rFonts w:hint="eastAsia" w:ascii="Arial" w:hAnsi="Arial" w:eastAsiaTheme="minorEastAsia"/>
                <w:kern w:val="2"/>
                <w:sz w:val="21"/>
              </w:rPr>
              <w:t>6</w:t>
            </w:r>
          </w:p>
        </w:tc>
        <w:tc>
          <w:tcPr>
            <w:tcW w:w="1134"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套</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8</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0.12</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0.96</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0.96</w:t>
            </w:r>
          </w:p>
        </w:tc>
        <w:tc>
          <w:tcPr>
            <w:tcW w:w="850"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0.96</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12"/>
              </w:rPr>
            </w:pPr>
            <w:r>
              <w:rPr>
                <w:rFonts w:hint="eastAsia" w:ascii="宋体" w:hAnsi="宋体"/>
                <w:kern w:val="2"/>
                <w:sz w:val="21"/>
              </w:rPr>
              <w:t>办公用品购置</w:t>
            </w:r>
          </w:p>
          <w:p>
            <w:pPr>
              <w:spacing w:line="0" w:lineRule="atLeast"/>
              <w:rPr>
                <w:rFonts w:hint="eastAsia" w:ascii="Times New Roman" w:hAnsi="Times New Roman" w:eastAsiaTheme="minorEastAsia"/>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20</w:t>
            </w:r>
          </w:p>
        </w:tc>
        <w:tc>
          <w:tcPr>
            <w:tcW w:w="1134" w:type="dxa"/>
            <w:gridSpan w:val="3"/>
            <w:tcBorders>
              <w:top w:val="nil"/>
              <w:left w:val="nil"/>
              <w:bottom w:val="single" w:color="auto" w:sz="8" w:space="0"/>
              <w:right w:val="single" w:color="auto" w:sz="8" w:space="0"/>
            </w:tcBorders>
            <w:vAlign w:val="center"/>
          </w:tcPr>
          <w:p>
            <w:pPr>
              <w:rPr>
                <w:rFonts w:ascii="宋体" w:hAnsi="宋体"/>
                <w:kern w:val="2"/>
                <w:sz w:val="21"/>
              </w:rPr>
            </w:pPr>
            <w:r>
              <w:rPr>
                <w:rFonts w:hint="eastAsia" w:ascii="Times New Roman" w:hAnsi="Times New Roman" w:eastAsiaTheme="minorEastAsia"/>
                <w:kern w:val="2"/>
                <w:sz w:val="24"/>
              </w:rPr>
              <w:t>家具用具</w:t>
            </w: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szCs w:val="24"/>
              </w:rPr>
            </w:pPr>
            <w:r>
              <w:rPr>
                <w:rFonts w:ascii="Arial" w:hAnsi="Arial" w:eastAsia="Arial"/>
                <w:kern w:val="2"/>
                <w:sz w:val="21"/>
              </w:rPr>
              <w:t>A0</w:t>
            </w:r>
            <w:r>
              <w:rPr>
                <w:rFonts w:hint="eastAsia" w:ascii="Arial" w:hAnsi="Arial" w:eastAsiaTheme="minorEastAsia"/>
                <w:kern w:val="2"/>
                <w:sz w:val="21"/>
              </w:rPr>
              <w:t>6</w:t>
            </w:r>
          </w:p>
        </w:tc>
        <w:tc>
          <w:tcPr>
            <w:tcW w:w="1134"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张</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11</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0.02</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0.22</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0.22</w:t>
            </w:r>
          </w:p>
        </w:tc>
        <w:tc>
          <w:tcPr>
            <w:tcW w:w="850"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0.22</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12"/>
              </w:rPr>
            </w:pPr>
            <w:r>
              <w:rPr>
                <w:rFonts w:hint="eastAsia" w:ascii="宋体" w:hAnsi="宋体"/>
                <w:kern w:val="2"/>
                <w:sz w:val="21"/>
              </w:rPr>
              <w:t>办公用品购置</w:t>
            </w:r>
          </w:p>
          <w:p>
            <w:pPr>
              <w:spacing w:line="0" w:lineRule="atLeast"/>
              <w:rPr>
                <w:rFonts w:hint="eastAsia" w:ascii="Times New Roman" w:hAnsi="Times New Roman" w:eastAsiaTheme="minorEastAsia"/>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20</w:t>
            </w:r>
          </w:p>
        </w:tc>
        <w:tc>
          <w:tcPr>
            <w:tcW w:w="1134" w:type="dxa"/>
            <w:gridSpan w:val="3"/>
            <w:tcBorders>
              <w:top w:val="nil"/>
              <w:left w:val="nil"/>
              <w:bottom w:val="single" w:color="auto" w:sz="8" w:space="0"/>
              <w:right w:val="single" w:color="auto" w:sz="8" w:space="0"/>
            </w:tcBorders>
            <w:vAlign w:val="center"/>
          </w:tcPr>
          <w:p>
            <w:pPr>
              <w:rPr>
                <w:rFonts w:ascii="宋体" w:hAnsi="宋体"/>
                <w:kern w:val="2"/>
                <w:sz w:val="21"/>
              </w:rPr>
            </w:pPr>
            <w:r>
              <w:rPr>
                <w:rFonts w:hint="eastAsia" w:ascii="Times New Roman" w:hAnsi="Times New Roman" w:eastAsiaTheme="minorEastAsia"/>
                <w:kern w:val="2"/>
                <w:sz w:val="24"/>
              </w:rPr>
              <w:t>家具用具</w:t>
            </w: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szCs w:val="24"/>
              </w:rPr>
            </w:pPr>
            <w:r>
              <w:rPr>
                <w:rFonts w:ascii="Arial" w:hAnsi="Arial" w:eastAsia="Arial"/>
                <w:kern w:val="2"/>
                <w:sz w:val="21"/>
              </w:rPr>
              <w:t>A0</w:t>
            </w:r>
            <w:r>
              <w:rPr>
                <w:rFonts w:hint="eastAsia" w:ascii="Arial" w:hAnsi="Arial" w:eastAsiaTheme="minorEastAsia"/>
                <w:kern w:val="2"/>
                <w:sz w:val="21"/>
              </w:rPr>
              <w:t>6</w:t>
            </w:r>
          </w:p>
        </w:tc>
        <w:tc>
          <w:tcPr>
            <w:tcW w:w="1134"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个</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0.26</w:t>
            </w: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0.26</w:t>
            </w: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0.26</w:t>
            </w: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0.26</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12"/>
              </w:rPr>
            </w:pPr>
            <w:r>
              <w:rPr>
                <w:rFonts w:hint="eastAsia" w:ascii="宋体" w:hAnsi="宋体"/>
                <w:kern w:val="2"/>
                <w:sz w:val="21"/>
              </w:rPr>
              <w:t>办公用品购置</w:t>
            </w:r>
          </w:p>
          <w:p>
            <w:pPr>
              <w:spacing w:line="0" w:lineRule="atLeast"/>
              <w:rPr>
                <w:rFonts w:hint="eastAsia" w:ascii="Times New Roman" w:hAnsi="Times New Roman" w:eastAsiaTheme="minorEastAsia"/>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20</w:t>
            </w:r>
          </w:p>
        </w:tc>
        <w:tc>
          <w:tcPr>
            <w:tcW w:w="1134" w:type="dxa"/>
            <w:gridSpan w:val="3"/>
            <w:tcBorders>
              <w:top w:val="nil"/>
              <w:left w:val="nil"/>
              <w:bottom w:val="single" w:color="auto" w:sz="8" w:space="0"/>
              <w:right w:val="single" w:color="auto" w:sz="8" w:space="0"/>
            </w:tcBorders>
            <w:vAlign w:val="center"/>
          </w:tcPr>
          <w:p>
            <w:pPr>
              <w:rPr>
                <w:rFonts w:ascii="宋体" w:hAnsi="宋体"/>
                <w:kern w:val="2"/>
                <w:sz w:val="21"/>
              </w:rPr>
            </w:pPr>
            <w:r>
              <w:rPr>
                <w:rFonts w:hint="eastAsia" w:ascii="Times New Roman" w:hAnsi="Times New Roman" w:eastAsiaTheme="minorEastAsia"/>
                <w:kern w:val="2"/>
                <w:sz w:val="24"/>
              </w:rPr>
              <w:t>家具用具</w:t>
            </w: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szCs w:val="24"/>
              </w:rPr>
            </w:pPr>
            <w:r>
              <w:rPr>
                <w:rFonts w:ascii="Arial" w:hAnsi="Arial" w:eastAsia="Arial"/>
                <w:kern w:val="2"/>
                <w:sz w:val="21"/>
              </w:rPr>
              <w:t>A0</w:t>
            </w:r>
            <w:r>
              <w:rPr>
                <w:rFonts w:hint="eastAsia" w:ascii="Arial" w:hAnsi="Arial" w:eastAsiaTheme="minorEastAsia"/>
                <w:kern w:val="2"/>
                <w:sz w:val="21"/>
              </w:rPr>
              <w:t>6</w:t>
            </w:r>
          </w:p>
        </w:tc>
        <w:tc>
          <w:tcPr>
            <w:tcW w:w="1134"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个</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2</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0.13</w:t>
            </w: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0.26</w:t>
            </w: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0.26</w:t>
            </w: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0.26</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12"/>
              </w:rPr>
            </w:pPr>
            <w:r>
              <w:rPr>
                <w:rFonts w:hint="eastAsia" w:ascii="宋体" w:hAnsi="宋体"/>
                <w:kern w:val="2"/>
                <w:sz w:val="21"/>
              </w:rPr>
              <w:t>办公用品购置</w:t>
            </w:r>
          </w:p>
          <w:p>
            <w:pPr>
              <w:spacing w:line="0" w:lineRule="atLeast"/>
              <w:rPr>
                <w:rFonts w:hint="eastAsia" w:ascii="Times New Roman" w:hAnsi="Times New Roman" w:eastAsiaTheme="minorEastAsia"/>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20</w:t>
            </w:r>
          </w:p>
        </w:tc>
        <w:tc>
          <w:tcPr>
            <w:tcW w:w="1134" w:type="dxa"/>
            <w:gridSpan w:val="3"/>
            <w:tcBorders>
              <w:top w:val="nil"/>
              <w:left w:val="nil"/>
              <w:bottom w:val="single" w:color="auto" w:sz="8" w:space="0"/>
              <w:right w:val="single" w:color="auto" w:sz="8" w:space="0"/>
            </w:tcBorders>
            <w:vAlign w:val="center"/>
          </w:tcPr>
          <w:p>
            <w:pPr>
              <w:rPr>
                <w:rFonts w:ascii="宋体" w:hAnsi="宋体"/>
                <w:kern w:val="2"/>
                <w:sz w:val="21"/>
              </w:rPr>
            </w:pPr>
            <w:r>
              <w:rPr>
                <w:rFonts w:hint="eastAsia" w:ascii="Times New Roman" w:hAnsi="Times New Roman" w:eastAsiaTheme="minorEastAsia"/>
                <w:kern w:val="2"/>
                <w:sz w:val="24"/>
              </w:rPr>
              <w:t>计算机设备</w:t>
            </w: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szCs w:val="24"/>
              </w:rPr>
            </w:pPr>
            <w:r>
              <w:rPr>
                <w:rFonts w:hint="eastAsia" w:ascii="Arial" w:hAnsi="Arial" w:eastAsiaTheme="minorEastAsia"/>
                <w:kern w:val="2"/>
                <w:sz w:val="21"/>
              </w:rPr>
              <w:t>A020201</w:t>
            </w:r>
          </w:p>
        </w:tc>
        <w:tc>
          <w:tcPr>
            <w:tcW w:w="1134"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台</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5</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0.48</w:t>
            </w: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2.4</w:t>
            </w: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2.4</w:t>
            </w: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2.4</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12"/>
              </w:rPr>
            </w:pPr>
            <w:r>
              <w:rPr>
                <w:rFonts w:hint="eastAsia" w:ascii="宋体" w:hAnsi="宋体"/>
                <w:kern w:val="2"/>
                <w:sz w:val="21"/>
              </w:rPr>
              <w:t>办公用品购置</w:t>
            </w:r>
          </w:p>
          <w:p>
            <w:pPr>
              <w:spacing w:line="0" w:lineRule="atLeast"/>
              <w:rPr>
                <w:rFonts w:hint="eastAsia" w:ascii="Times New Roman" w:hAnsi="Times New Roman" w:eastAsiaTheme="minorEastAsia"/>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20</w:t>
            </w:r>
          </w:p>
        </w:tc>
        <w:tc>
          <w:tcPr>
            <w:tcW w:w="1134" w:type="dxa"/>
            <w:gridSpan w:val="3"/>
            <w:tcBorders>
              <w:top w:val="nil"/>
              <w:left w:val="nil"/>
              <w:bottom w:val="single" w:color="auto" w:sz="8" w:space="0"/>
              <w:right w:val="single" w:color="auto" w:sz="8" w:space="0"/>
            </w:tcBorders>
            <w:vAlign w:val="center"/>
          </w:tcPr>
          <w:p>
            <w:pPr>
              <w:rPr>
                <w:rFonts w:ascii="宋体" w:hAnsi="宋体"/>
                <w:kern w:val="2"/>
                <w:sz w:val="21"/>
              </w:rPr>
            </w:pPr>
            <w:r>
              <w:rPr>
                <w:rFonts w:hint="eastAsia" w:ascii="宋体" w:hAnsi="宋体"/>
                <w:kern w:val="2"/>
                <w:sz w:val="21"/>
              </w:rPr>
              <w:t>计算机设备</w:t>
            </w:r>
          </w:p>
        </w:tc>
        <w:tc>
          <w:tcPr>
            <w:tcW w:w="1276" w:type="dxa"/>
            <w:tcBorders>
              <w:top w:val="nil"/>
              <w:left w:val="nil"/>
              <w:bottom w:val="single" w:color="auto" w:sz="8" w:space="0"/>
              <w:right w:val="single" w:color="auto" w:sz="8" w:space="0"/>
            </w:tcBorders>
            <w:vAlign w:val="bottom"/>
          </w:tcPr>
          <w:p>
            <w:pPr>
              <w:spacing w:line="0" w:lineRule="atLeast"/>
              <w:rPr>
                <w:rFonts w:hint="eastAsia" w:ascii="Arial" w:hAnsi="Arial" w:eastAsiaTheme="minorEastAsia"/>
                <w:kern w:val="2"/>
                <w:sz w:val="21"/>
              </w:rPr>
            </w:pPr>
            <w:r>
              <w:rPr>
                <w:rFonts w:hint="eastAsia" w:ascii="Arial" w:hAnsi="Arial" w:eastAsiaTheme="minorEastAsia"/>
                <w:kern w:val="2"/>
                <w:sz w:val="21"/>
              </w:rPr>
              <w:t>A020201</w:t>
            </w:r>
          </w:p>
          <w:p>
            <w:pPr>
              <w:spacing w:line="0" w:lineRule="atLeast"/>
              <w:rPr>
                <w:rFonts w:ascii="Times New Roman" w:hAnsi="Times New Roman" w:eastAsia="Times New Roman"/>
                <w:kern w:val="2"/>
                <w:sz w:val="24"/>
                <w:szCs w:val="24"/>
              </w:rPr>
            </w:pPr>
          </w:p>
        </w:tc>
        <w:tc>
          <w:tcPr>
            <w:tcW w:w="1134"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台</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2</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0.8</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1.6</w:t>
            </w: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1.6</w:t>
            </w: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1.6</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12"/>
              </w:rPr>
            </w:pPr>
            <w:r>
              <w:rPr>
                <w:rFonts w:hint="eastAsia" w:ascii="宋体" w:hAnsi="宋体"/>
                <w:kern w:val="2"/>
                <w:sz w:val="21"/>
              </w:rPr>
              <w:t>办公用品购置</w:t>
            </w:r>
          </w:p>
          <w:p>
            <w:pPr>
              <w:spacing w:line="0" w:lineRule="atLeast"/>
              <w:rPr>
                <w:rFonts w:hint="eastAsia" w:ascii="Times New Roman" w:hAnsi="Times New Roman" w:eastAsiaTheme="minorEastAsia"/>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20</w:t>
            </w:r>
          </w:p>
        </w:tc>
        <w:tc>
          <w:tcPr>
            <w:tcW w:w="1134" w:type="dxa"/>
            <w:gridSpan w:val="3"/>
            <w:tcBorders>
              <w:top w:val="nil"/>
              <w:left w:val="nil"/>
              <w:bottom w:val="single" w:color="auto" w:sz="8" w:space="0"/>
              <w:right w:val="single" w:color="auto" w:sz="8" w:space="0"/>
            </w:tcBorders>
            <w:vAlign w:val="center"/>
          </w:tcPr>
          <w:p>
            <w:pPr>
              <w:rPr>
                <w:rFonts w:ascii="宋体" w:hAnsi="宋体"/>
                <w:kern w:val="2"/>
                <w:sz w:val="21"/>
              </w:rPr>
            </w:pPr>
            <w:r>
              <w:rPr>
                <w:rFonts w:hint="eastAsia" w:ascii="宋体" w:hAnsi="宋体"/>
                <w:kern w:val="2"/>
                <w:sz w:val="21"/>
              </w:rPr>
              <w:t>空调机</w:t>
            </w: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szCs w:val="24"/>
              </w:rPr>
            </w:pPr>
            <w:r>
              <w:rPr>
                <w:rFonts w:hint="eastAsia" w:ascii="Arial" w:hAnsi="Arial" w:eastAsiaTheme="minorEastAsia"/>
                <w:kern w:val="2"/>
                <w:sz w:val="21"/>
              </w:rPr>
              <w:t>A0206180203</w:t>
            </w:r>
          </w:p>
        </w:tc>
        <w:tc>
          <w:tcPr>
            <w:tcW w:w="1134"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台</w:t>
            </w: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1</w:t>
            </w:r>
          </w:p>
        </w:tc>
        <w:tc>
          <w:tcPr>
            <w:tcW w:w="567"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0.8</w:t>
            </w: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0.8</w:t>
            </w: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0.8</w:t>
            </w: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0.8</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12"/>
              </w:rPr>
            </w:pPr>
            <w:r>
              <w:rPr>
                <w:rFonts w:hint="eastAsia" w:ascii="宋体" w:hAnsi="宋体"/>
                <w:kern w:val="2"/>
                <w:sz w:val="21"/>
              </w:rPr>
              <w:t>办公用品购置</w:t>
            </w:r>
          </w:p>
          <w:p>
            <w:pPr>
              <w:spacing w:line="0" w:lineRule="atLeast"/>
              <w:rPr>
                <w:rFonts w:hint="eastAsia" w:ascii="Times New Roman" w:hAnsi="Times New Roman" w:eastAsiaTheme="minorEastAsia"/>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20</w:t>
            </w:r>
          </w:p>
        </w:tc>
        <w:tc>
          <w:tcPr>
            <w:tcW w:w="1134" w:type="dxa"/>
            <w:gridSpan w:val="3"/>
            <w:tcBorders>
              <w:top w:val="nil"/>
              <w:left w:val="nil"/>
              <w:bottom w:val="single" w:color="auto" w:sz="8" w:space="0"/>
              <w:right w:val="single" w:color="auto" w:sz="8" w:space="0"/>
            </w:tcBorders>
            <w:vAlign w:val="center"/>
          </w:tcPr>
          <w:p>
            <w:pPr>
              <w:rPr>
                <w:rFonts w:ascii="宋体" w:hAnsi="宋体"/>
                <w:kern w:val="2"/>
                <w:sz w:val="21"/>
              </w:rPr>
            </w:pPr>
            <w:r>
              <w:rPr>
                <w:rFonts w:hint="eastAsia" w:ascii="宋体" w:hAnsi="宋体"/>
                <w:kern w:val="2"/>
                <w:sz w:val="21"/>
              </w:rPr>
              <w:t>空调机</w:t>
            </w: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szCs w:val="24"/>
              </w:rPr>
            </w:pPr>
            <w:r>
              <w:rPr>
                <w:rFonts w:hint="eastAsia" w:ascii="Arial" w:hAnsi="Arial" w:eastAsiaTheme="minorEastAsia"/>
                <w:kern w:val="2"/>
                <w:sz w:val="21"/>
              </w:rPr>
              <w:t>A0206180203</w:t>
            </w:r>
          </w:p>
        </w:tc>
        <w:tc>
          <w:tcPr>
            <w:tcW w:w="1134"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台</w:t>
            </w: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3</w:t>
            </w:r>
          </w:p>
        </w:tc>
        <w:tc>
          <w:tcPr>
            <w:tcW w:w="567"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0.26</w:t>
            </w: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0.78</w:t>
            </w: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0.78</w:t>
            </w: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0.78</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r>
              <w:rPr>
                <w:rFonts w:hint="eastAsia" w:ascii="宋体" w:hAnsi="宋体"/>
                <w:kern w:val="2"/>
                <w:sz w:val="21"/>
              </w:rPr>
              <w:t>办公用品购置</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20</w:t>
            </w:r>
          </w:p>
        </w:tc>
        <w:tc>
          <w:tcPr>
            <w:tcW w:w="1134" w:type="dxa"/>
            <w:gridSpan w:val="3"/>
            <w:tcBorders>
              <w:top w:val="nil"/>
              <w:left w:val="nil"/>
              <w:bottom w:val="single" w:color="auto" w:sz="8" w:space="0"/>
              <w:right w:val="single" w:color="auto" w:sz="8" w:space="0"/>
            </w:tcBorders>
            <w:vAlign w:val="center"/>
          </w:tcPr>
          <w:p>
            <w:pPr>
              <w:rPr>
                <w:rFonts w:ascii="宋体" w:hAnsi="宋体"/>
                <w:kern w:val="2"/>
                <w:sz w:val="21"/>
              </w:rPr>
            </w:pPr>
            <w:r>
              <w:rPr>
                <w:rFonts w:hint="eastAsia" w:ascii="宋体" w:hAnsi="宋体"/>
                <w:kern w:val="2"/>
                <w:sz w:val="21"/>
              </w:rPr>
              <w:t>广播、电影、电视设备</w:t>
            </w: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szCs w:val="24"/>
              </w:rPr>
            </w:pPr>
            <w:r>
              <w:rPr>
                <w:rFonts w:hint="eastAsia" w:ascii="Arial" w:hAnsi="Arial" w:eastAsiaTheme="minorEastAsia"/>
                <w:kern w:val="2"/>
                <w:sz w:val="21"/>
              </w:rPr>
              <w:t>A0209</w:t>
            </w:r>
          </w:p>
        </w:tc>
        <w:tc>
          <w:tcPr>
            <w:tcW w:w="1134"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台</w:t>
            </w: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1</w:t>
            </w:r>
          </w:p>
        </w:tc>
        <w:tc>
          <w:tcPr>
            <w:tcW w:w="567"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6</w:t>
            </w: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6</w:t>
            </w: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6</w:t>
            </w: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6</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12"/>
              </w:rPr>
            </w:pPr>
            <w:r>
              <w:rPr>
                <w:rFonts w:hint="eastAsia" w:ascii="宋体" w:hAnsi="宋体"/>
                <w:kern w:val="2"/>
                <w:sz w:val="21"/>
              </w:rPr>
              <w:t>办公用品购置</w:t>
            </w:r>
          </w:p>
          <w:p>
            <w:pPr>
              <w:spacing w:line="0" w:lineRule="atLeast"/>
              <w:rPr>
                <w:rFonts w:hint="eastAsia" w:ascii="Times New Roman" w:hAnsi="Times New Roman" w:eastAsiaTheme="minorEastAsia"/>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20</w:t>
            </w:r>
          </w:p>
        </w:tc>
        <w:tc>
          <w:tcPr>
            <w:tcW w:w="1134" w:type="dxa"/>
            <w:gridSpan w:val="3"/>
            <w:tcBorders>
              <w:top w:val="nil"/>
              <w:left w:val="nil"/>
              <w:bottom w:val="single" w:color="auto" w:sz="8" w:space="0"/>
              <w:right w:val="single" w:color="auto" w:sz="8" w:space="0"/>
            </w:tcBorders>
            <w:vAlign w:val="center"/>
          </w:tcPr>
          <w:p>
            <w:pPr>
              <w:rPr>
                <w:rFonts w:ascii="宋体" w:hAnsi="宋体"/>
                <w:kern w:val="2"/>
                <w:sz w:val="21"/>
              </w:rPr>
            </w:pPr>
            <w:r>
              <w:rPr>
                <w:rFonts w:hint="eastAsia" w:ascii="宋体" w:hAnsi="宋体"/>
                <w:kern w:val="2"/>
                <w:sz w:val="21"/>
              </w:rPr>
              <w:t>普通电视设备（电视机）</w:t>
            </w: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szCs w:val="24"/>
              </w:rPr>
            </w:pPr>
            <w:r>
              <w:rPr>
                <w:rFonts w:hint="eastAsia" w:ascii="Arial" w:hAnsi="Arial" w:eastAsiaTheme="minorEastAsia"/>
                <w:kern w:val="2"/>
                <w:sz w:val="21"/>
              </w:rPr>
              <w:t>A02091001</w:t>
            </w:r>
          </w:p>
        </w:tc>
        <w:tc>
          <w:tcPr>
            <w:tcW w:w="1134"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台</w:t>
            </w: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2</w:t>
            </w:r>
          </w:p>
        </w:tc>
        <w:tc>
          <w:tcPr>
            <w:tcW w:w="567"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0.55</w:t>
            </w: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1.1</w:t>
            </w: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1.1</w:t>
            </w: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1.1</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12"/>
              </w:rPr>
            </w:pPr>
            <w:r>
              <w:rPr>
                <w:rFonts w:hint="eastAsia" w:ascii="宋体" w:hAnsi="宋体"/>
                <w:kern w:val="2"/>
                <w:sz w:val="21"/>
              </w:rPr>
              <w:t>办公用品购置</w:t>
            </w:r>
          </w:p>
          <w:p>
            <w:pPr>
              <w:spacing w:line="0" w:lineRule="atLeast"/>
              <w:rPr>
                <w:rFonts w:hint="eastAsia" w:ascii="Times New Roman" w:hAnsi="Times New Roman" w:eastAsiaTheme="minorEastAsia"/>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20</w:t>
            </w:r>
          </w:p>
        </w:tc>
        <w:tc>
          <w:tcPr>
            <w:tcW w:w="1134" w:type="dxa"/>
            <w:gridSpan w:val="3"/>
            <w:tcBorders>
              <w:top w:val="nil"/>
              <w:left w:val="nil"/>
              <w:bottom w:val="single" w:color="auto" w:sz="8" w:space="0"/>
              <w:right w:val="single" w:color="auto" w:sz="8" w:space="0"/>
            </w:tcBorders>
            <w:vAlign w:val="center"/>
          </w:tcPr>
          <w:p>
            <w:pPr>
              <w:rPr>
                <w:rFonts w:ascii="宋体" w:hAnsi="宋体"/>
                <w:kern w:val="2"/>
                <w:sz w:val="21"/>
              </w:rPr>
            </w:pPr>
            <w:r>
              <w:rPr>
                <w:rFonts w:hint="eastAsia" w:ascii="宋体" w:hAnsi="宋体"/>
                <w:kern w:val="2"/>
                <w:sz w:val="21"/>
              </w:rPr>
              <w:t>打印设备</w:t>
            </w: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szCs w:val="24"/>
              </w:rPr>
            </w:pPr>
            <w:r>
              <w:rPr>
                <w:rFonts w:hint="eastAsia" w:ascii="Arial" w:hAnsi="Arial" w:eastAsiaTheme="minorEastAsia"/>
                <w:kern w:val="2"/>
                <w:sz w:val="21"/>
              </w:rPr>
              <w:t>A02010601</w:t>
            </w:r>
          </w:p>
        </w:tc>
        <w:tc>
          <w:tcPr>
            <w:tcW w:w="1134"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台</w:t>
            </w: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1</w:t>
            </w:r>
          </w:p>
        </w:tc>
        <w:tc>
          <w:tcPr>
            <w:tcW w:w="567"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0.5</w:t>
            </w: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0.5</w:t>
            </w: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0.5</w:t>
            </w: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0.5</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12"/>
              </w:rPr>
            </w:pPr>
            <w:r>
              <w:rPr>
                <w:rFonts w:hint="eastAsia" w:ascii="宋体" w:hAnsi="宋体"/>
                <w:kern w:val="2"/>
                <w:sz w:val="21"/>
              </w:rPr>
              <w:t>办公用品购置</w:t>
            </w:r>
          </w:p>
          <w:p>
            <w:pPr>
              <w:spacing w:line="0" w:lineRule="atLeast"/>
              <w:rPr>
                <w:rFonts w:hint="eastAsia" w:ascii="Times New Roman" w:hAnsi="Times New Roman" w:eastAsiaTheme="minorEastAsia"/>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20</w:t>
            </w:r>
          </w:p>
        </w:tc>
        <w:tc>
          <w:tcPr>
            <w:tcW w:w="1134" w:type="dxa"/>
            <w:gridSpan w:val="3"/>
            <w:tcBorders>
              <w:top w:val="nil"/>
              <w:left w:val="nil"/>
              <w:bottom w:val="single" w:color="auto" w:sz="8" w:space="0"/>
              <w:right w:val="single" w:color="auto" w:sz="8" w:space="0"/>
            </w:tcBorders>
            <w:vAlign w:val="center"/>
          </w:tcPr>
          <w:p>
            <w:pPr>
              <w:rPr>
                <w:rFonts w:ascii="宋体" w:hAnsi="宋体"/>
                <w:kern w:val="2"/>
                <w:sz w:val="21"/>
              </w:rPr>
            </w:pPr>
            <w:r>
              <w:rPr>
                <w:rFonts w:hint="eastAsia" w:ascii="宋体" w:hAnsi="宋体"/>
                <w:kern w:val="2"/>
                <w:sz w:val="21"/>
              </w:rPr>
              <w:t>其他货物</w:t>
            </w:r>
          </w:p>
        </w:tc>
        <w:tc>
          <w:tcPr>
            <w:tcW w:w="1276"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24"/>
                <w:szCs w:val="24"/>
              </w:rPr>
            </w:pPr>
            <w:r>
              <w:rPr>
                <w:rFonts w:hint="eastAsia" w:ascii="Arial" w:hAnsi="Arial" w:eastAsiaTheme="minorEastAsia"/>
                <w:kern w:val="2"/>
                <w:sz w:val="21"/>
              </w:rPr>
              <w:t>A020202</w:t>
            </w:r>
          </w:p>
        </w:tc>
        <w:tc>
          <w:tcPr>
            <w:tcW w:w="1134"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个</w:t>
            </w: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1</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0.2</w:t>
            </w: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0.2</w:t>
            </w: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0.2</w:t>
            </w: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0.2</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馆区垃圾清运处理</w:t>
            </w:r>
          </w:p>
          <w:p>
            <w:pPr>
              <w:spacing w:line="0" w:lineRule="atLeast"/>
              <w:rPr>
                <w:rFonts w:hint="eastAsia" w:ascii="Times New Roman" w:hAnsi="Times New Roman" w:eastAsiaTheme="minorEastAsia"/>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19.9</w:t>
            </w:r>
          </w:p>
        </w:tc>
        <w:tc>
          <w:tcPr>
            <w:tcW w:w="1134" w:type="dxa"/>
            <w:gridSpan w:val="3"/>
            <w:tcBorders>
              <w:top w:val="nil"/>
              <w:left w:val="nil"/>
              <w:bottom w:val="single" w:color="auto" w:sz="8" w:space="0"/>
              <w:right w:val="single" w:color="auto" w:sz="8" w:space="0"/>
            </w:tcBorders>
            <w:vAlign w:val="center"/>
          </w:tcPr>
          <w:p>
            <w:pPr>
              <w:rPr>
                <w:rFonts w:ascii="宋体" w:hAnsi="宋体"/>
                <w:kern w:val="2"/>
                <w:sz w:val="21"/>
              </w:rPr>
            </w:pPr>
            <w:r>
              <w:rPr>
                <w:rFonts w:hint="eastAsia" w:ascii="宋体" w:hAnsi="宋体"/>
                <w:kern w:val="2"/>
                <w:sz w:val="21"/>
              </w:rPr>
              <w:t>园林绿化管理服务</w:t>
            </w:r>
          </w:p>
        </w:tc>
        <w:tc>
          <w:tcPr>
            <w:tcW w:w="1276"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C1303</w:t>
            </w:r>
          </w:p>
        </w:tc>
        <w:tc>
          <w:tcPr>
            <w:tcW w:w="1134"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个</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19.9</w:t>
            </w:r>
          </w:p>
        </w:tc>
        <w:tc>
          <w:tcPr>
            <w:tcW w:w="709"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19.9</w:t>
            </w:r>
          </w:p>
        </w:tc>
        <w:tc>
          <w:tcPr>
            <w:tcW w:w="708"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19.9</w:t>
            </w:r>
          </w:p>
        </w:tc>
        <w:tc>
          <w:tcPr>
            <w:tcW w:w="85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r>
              <w:rPr>
                <w:rFonts w:hint="eastAsia" w:ascii="Times New Roman" w:hAnsi="Times New Roman" w:eastAsiaTheme="minorEastAsia"/>
                <w:kern w:val="2"/>
                <w:sz w:val="24"/>
                <w:szCs w:val="24"/>
              </w:rPr>
              <w:t>19.9</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展馆安检设备</w:t>
            </w:r>
          </w:p>
          <w:p>
            <w:pPr>
              <w:spacing w:line="0" w:lineRule="atLeast"/>
              <w:rPr>
                <w:rFonts w:hint="eastAsia" w:ascii="Times New Roman" w:hAnsi="Times New Roman" w:eastAsiaTheme="minorEastAsia"/>
                <w:kern w:val="2"/>
                <w:sz w:val="12"/>
              </w:rPr>
            </w:pP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17</w:t>
            </w:r>
          </w:p>
        </w:tc>
        <w:tc>
          <w:tcPr>
            <w:tcW w:w="1134" w:type="dxa"/>
            <w:gridSpan w:val="3"/>
            <w:tcBorders>
              <w:top w:val="nil"/>
              <w:left w:val="nil"/>
              <w:bottom w:val="single" w:color="auto" w:sz="8" w:space="0"/>
              <w:right w:val="single" w:color="auto" w:sz="8" w:space="0"/>
            </w:tcBorders>
            <w:vAlign w:val="center"/>
          </w:tcPr>
          <w:p>
            <w:pPr>
              <w:rPr>
                <w:rFonts w:hint="eastAsia" w:ascii="宋体" w:hAnsi="宋体"/>
                <w:kern w:val="2"/>
                <w:sz w:val="21"/>
              </w:rPr>
            </w:pPr>
            <w:r>
              <w:rPr>
                <w:rFonts w:hint="eastAsia" w:ascii="宋体" w:hAnsi="宋体"/>
                <w:kern w:val="2"/>
                <w:sz w:val="21"/>
              </w:rPr>
              <w:t>修缮工程</w:t>
            </w:r>
          </w:p>
        </w:tc>
        <w:tc>
          <w:tcPr>
            <w:tcW w:w="1276"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B08</w:t>
            </w:r>
          </w:p>
        </w:tc>
        <w:tc>
          <w:tcPr>
            <w:tcW w:w="1134"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个</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17</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17</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17</w:t>
            </w:r>
          </w:p>
        </w:tc>
        <w:tc>
          <w:tcPr>
            <w:tcW w:w="850"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17</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展馆展区专项维修维护</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100</w:t>
            </w:r>
          </w:p>
        </w:tc>
        <w:tc>
          <w:tcPr>
            <w:tcW w:w="1134" w:type="dxa"/>
            <w:gridSpan w:val="3"/>
            <w:tcBorders>
              <w:top w:val="nil"/>
              <w:left w:val="nil"/>
              <w:bottom w:val="single" w:color="auto" w:sz="8" w:space="0"/>
              <w:right w:val="single" w:color="auto" w:sz="8" w:space="0"/>
            </w:tcBorders>
            <w:vAlign w:val="center"/>
          </w:tcPr>
          <w:p>
            <w:pPr>
              <w:rPr>
                <w:rFonts w:hint="eastAsia" w:ascii="宋体" w:hAnsi="宋体"/>
                <w:kern w:val="2"/>
                <w:sz w:val="21"/>
              </w:rPr>
            </w:pPr>
            <w:r>
              <w:rPr>
                <w:rFonts w:hint="eastAsia" w:ascii="宋体" w:hAnsi="宋体"/>
                <w:kern w:val="2"/>
                <w:sz w:val="21"/>
              </w:rPr>
              <w:t>修缮工程</w:t>
            </w:r>
          </w:p>
        </w:tc>
        <w:tc>
          <w:tcPr>
            <w:tcW w:w="1276"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B08</w:t>
            </w:r>
          </w:p>
        </w:tc>
        <w:tc>
          <w:tcPr>
            <w:tcW w:w="1134"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个</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70</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70</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70</w:t>
            </w:r>
          </w:p>
        </w:tc>
        <w:tc>
          <w:tcPr>
            <w:tcW w:w="850"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70</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景区卫生间升级改造</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45</w:t>
            </w:r>
          </w:p>
        </w:tc>
        <w:tc>
          <w:tcPr>
            <w:tcW w:w="1134" w:type="dxa"/>
            <w:gridSpan w:val="3"/>
            <w:tcBorders>
              <w:top w:val="nil"/>
              <w:left w:val="nil"/>
              <w:bottom w:val="single" w:color="auto" w:sz="8" w:space="0"/>
              <w:right w:val="single" w:color="auto" w:sz="8" w:space="0"/>
            </w:tcBorders>
            <w:vAlign w:val="center"/>
          </w:tcPr>
          <w:p>
            <w:pPr>
              <w:rPr>
                <w:rFonts w:hint="eastAsia" w:ascii="宋体" w:hAnsi="宋体"/>
                <w:kern w:val="2"/>
                <w:sz w:val="21"/>
              </w:rPr>
            </w:pPr>
            <w:r>
              <w:rPr>
                <w:rFonts w:hint="eastAsia" w:ascii="宋体" w:hAnsi="宋体"/>
                <w:kern w:val="2"/>
                <w:sz w:val="21"/>
              </w:rPr>
              <w:t>修缮工程</w:t>
            </w:r>
          </w:p>
        </w:tc>
        <w:tc>
          <w:tcPr>
            <w:tcW w:w="1276"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B08</w:t>
            </w:r>
          </w:p>
        </w:tc>
        <w:tc>
          <w:tcPr>
            <w:tcW w:w="1134"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个</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45</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45</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45</w:t>
            </w:r>
          </w:p>
        </w:tc>
        <w:tc>
          <w:tcPr>
            <w:tcW w:w="850"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45</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408"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公益演出</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46</w:t>
            </w:r>
          </w:p>
        </w:tc>
        <w:tc>
          <w:tcPr>
            <w:tcW w:w="1134" w:type="dxa"/>
            <w:gridSpan w:val="3"/>
            <w:tcBorders>
              <w:top w:val="nil"/>
              <w:left w:val="nil"/>
              <w:bottom w:val="single" w:color="auto" w:sz="8" w:space="0"/>
              <w:right w:val="single" w:color="auto" w:sz="8" w:space="0"/>
            </w:tcBorders>
            <w:vAlign w:val="center"/>
          </w:tcPr>
          <w:p>
            <w:pPr>
              <w:rPr>
                <w:rFonts w:hint="eastAsia" w:ascii="宋体" w:hAnsi="宋体"/>
                <w:kern w:val="2"/>
                <w:sz w:val="21"/>
              </w:rPr>
            </w:pPr>
            <w:r>
              <w:rPr>
                <w:rFonts w:hint="eastAsia" w:ascii="宋体" w:hAnsi="宋体"/>
                <w:kern w:val="2"/>
                <w:sz w:val="21"/>
              </w:rPr>
              <w:t>文化、体育、娱乐服务</w:t>
            </w:r>
          </w:p>
        </w:tc>
        <w:tc>
          <w:tcPr>
            <w:tcW w:w="1276"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C20</w:t>
            </w:r>
          </w:p>
        </w:tc>
        <w:tc>
          <w:tcPr>
            <w:tcW w:w="1134"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个</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46</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46</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46</w:t>
            </w:r>
          </w:p>
        </w:tc>
        <w:tc>
          <w:tcPr>
            <w:tcW w:w="850"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46</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电蓄热锅炉</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487</w:t>
            </w:r>
          </w:p>
        </w:tc>
        <w:tc>
          <w:tcPr>
            <w:tcW w:w="1134" w:type="dxa"/>
            <w:gridSpan w:val="3"/>
            <w:tcBorders>
              <w:top w:val="nil"/>
              <w:left w:val="nil"/>
              <w:bottom w:val="single" w:color="auto" w:sz="8" w:space="0"/>
              <w:right w:val="single" w:color="auto" w:sz="8" w:space="0"/>
            </w:tcBorders>
            <w:vAlign w:val="center"/>
          </w:tcPr>
          <w:p>
            <w:pPr>
              <w:rPr>
                <w:rFonts w:hint="eastAsia" w:ascii="宋体" w:hAnsi="宋体"/>
                <w:kern w:val="2"/>
                <w:sz w:val="21"/>
              </w:rPr>
            </w:pPr>
            <w:r>
              <w:rPr>
                <w:rFonts w:hint="eastAsia" w:ascii="宋体" w:hAnsi="宋体"/>
                <w:kern w:val="2"/>
                <w:sz w:val="21"/>
              </w:rPr>
              <w:t>修缮工程</w:t>
            </w:r>
          </w:p>
        </w:tc>
        <w:tc>
          <w:tcPr>
            <w:tcW w:w="1276"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B08</w:t>
            </w:r>
          </w:p>
        </w:tc>
        <w:tc>
          <w:tcPr>
            <w:tcW w:w="1134"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个</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67</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67</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67</w:t>
            </w:r>
          </w:p>
        </w:tc>
        <w:tc>
          <w:tcPr>
            <w:tcW w:w="850"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67</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电蓄热锅炉</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487</w:t>
            </w:r>
          </w:p>
        </w:tc>
        <w:tc>
          <w:tcPr>
            <w:tcW w:w="1134" w:type="dxa"/>
            <w:gridSpan w:val="3"/>
            <w:tcBorders>
              <w:top w:val="nil"/>
              <w:left w:val="nil"/>
              <w:bottom w:val="single" w:color="auto" w:sz="8" w:space="0"/>
              <w:right w:val="single" w:color="auto" w:sz="8" w:space="0"/>
            </w:tcBorders>
            <w:vAlign w:val="center"/>
          </w:tcPr>
          <w:p>
            <w:pPr>
              <w:rPr>
                <w:rFonts w:hint="eastAsia" w:ascii="宋体" w:hAnsi="宋体"/>
                <w:kern w:val="2"/>
                <w:sz w:val="21"/>
              </w:rPr>
            </w:pPr>
            <w:r>
              <w:rPr>
                <w:rFonts w:hint="eastAsia" w:ascii="宋体" w:hAnsi="宋体"/>
                <w:kern w:val="2"/>
                <w:sz w:val="21"/>
              </w:rPr>
              <w:t>锅炉</w:t>
            </w:r>
          </w:p>
        </w:tc>
        <w:tc>
          <w:tcPr>
            <w:tcW w:w="1276"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A020504</w:t>
            </w:r>
          </w:p>
        </w:tc>
        <w:tc>
          <w:tcPr>
            <w:tcW w:w="1134"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台</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2</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210</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420</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420</w:t>
            </w:r>
          </w:p>
        </w:tc>
        <w:tc>
          <w:tcPr>
            <w:tcW w:w="850"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420</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149"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中宣部旧址改陈布展费</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40</w:t>
            </w:r>
          </w:p>
        </w:tc>
        <w:tc>
          <w:tcPr>
            <w:tcW w:w="1134" w:type="dxa"/>
            <w:gridSpan w:val="3"/>
            <w:tcBorders>
              <w:top w:val="nil"/>
              <w:left w:val="nil"/>
              <w:bottom w:val="single" w:color="auto" w:sz="8" w:space="0"/>
              <w:right w:val="single" w:color="auto" w:sz="8" w:space="0"/>
            </w:tcBorders>
            <w:vAlign w:val="center"/>
          </w:tcPr>
          <w:p>
            <w:pPr>
              <w:rPr>
                <w:rFonts w:hint="eastAsia" w:ascii="宋体" w:hAnsi="宋体"/>
                <w:kern w:val="2"/>
                <w:sz w:val="21"/>
              </w:rPr>
            </w:pPr>
            <w:r>
              <w:rPr>
                <w:rFonts w:hint="eastAsia" w:ascii="宋体" w:hAnsi="宋体"/>
                <w:kern w:val="2"/>
                <w:sz w:val="21"/>
              </w:rPr>
              <w:t>修缮工程</w:t>
            </w:r>
          </w:p>
        </w:tc>
        <w:tc>
          <w:tcPr>
            <w:tcW w:w="1276"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B08</w:t>
            </w:r>
          </w:p>
        </w:tc>
        <w:tc>
          <w:tcPr>
            <w:tcW w:w="1134"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个</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35</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35</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35</w:t>
            </w:r>
          </w:p>
        </w:tc>
        <w:tc>
          <w:tcPr>
            <w:tcW w:w="850"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35</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r>
        <w:tblPrEx>
          <w:tblLayout w:type="fixed"/>
          <w:tblCellMar>
            <w:top w:w="0" w:type="dxa"/>
            <w:left w:w="0" w:type="dxa"/>
            <w:bottom w:w="0" w:type="dxa"/>
            <w:right w:w="0" w:type="dxa"/>
          </w:tblCellMar>
        </w:tblPrEx>
        <w:trPr>
          <w:gridAfter w:val="1"/>
          <w:wAfter w:w="433" w:type="dxa"/>
          <w:trHeight w:val="488" w:hRule="atLeast"/>
          <w:jc w:val="center"/>
        </w:trPr>
        <w:tc>
          <w:tcPr>
            <w:tcW w:w="2127" w:type="dxa"/>
            <w:tcBorders>
              <w:top w:val="nil"/>
              <w:left w:val="single" w:color="auto" w:sz="8" w:space="0"/>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中宣部旧址改陈布展费</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40</w:t>
            </w:r>
          </w:p>
        </w:tc>
        <w:tc>
          <w:tcPr>
            <w:tcW w:w="1134" w:type="dxa"/>
            <w:gridSpan w:val="3"/>
            <w:tcBorders>
              <w:top w:val="nil"/>
              <w:left w:val="nil"/>
              <w:bottom w:val="single" w:color="auto" w:sz="8" w:space="0"/>
              <w:right w:val="single" w:color="auto" w:sz="8" w:space="0"/>
            </w:tcBorders>
            <w:vAlign w:val="center"/>
          </w:tcPr>
          <w:p>
            <w:pPr>
              <w:rPr>
                <w:rFonts w:hint="eastAsia" w:ascii="宋体" w:hAnsi="宋体"/>
                <w:kern w:val="2"/>
                <w:sz w:val="21"/>
              </w:rPr>
            </w:pPr>
            <w:r>
              <w:rPr>
                <w:rFonts w:hint="eastAsia" w:ascii="宋体" w:hAnsi="宋体"/>
                <w:kern w:val="2"/>
                <w:sz w:val="21"/>
              </w:rPr>
              <w:t>投影仪</w:t>
            </w:r>
          </w:p>
        </w:tc>
        <w:tc>
          <w:tcPr>
            <w:tcW w:w="1276"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A020202</w:t>
            </w:r>
          </w:p>
        </w:tc>
        <w:tc>
          <w:tcPr>
            <w:tcW w:w="1134"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套</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1</w:t>
            </w:r>
          </w:p>
        </w:tc>
        <w:tc>
          <w:tcPr>
            <w:tcW w:w="567"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5</w:t>
            </w:r>
          </w:p>
        </w:tc>
        <w:tc>
          <w:tcPr>
            <w:tcW w:w="709"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5</w:t>
            </w:r>
          </w:p>
        </w:tc>
        <w:tc>
          <w:tcPr>
            <w:tcW w:w="708"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5</w:t>
            </w:r>
          </w:p>
        </w:tc>
        <w:tc>
          <w:tcPr>
            <w:tcW w:w="850"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24"/>
                <w:szCs w:val="24"/>
              </w:rPr>
            </w:pPr>
            <w:r>
              <w:rPr>
                <w:rFonts w:hint="eastAsia" w:ascii="Times New Roman" w:hAnsi="Times New Roman" w:eastAsiaTheme="minorEastAsia"/>
                <w:kern w:val="2"/>
                <w:sz w:val="24"/>
                <w:szCs w:val="24"/>
              </w:rPr>
              <w:t>5</w:t>
            </w:r>
          </w:p>
        </w:tc>
        <w:tc>
          <w:tcPr>
            <w:tcW w:w="885" w:type="dxa"/>
            <w:tcBorders>
              <w:top w:val="nil"/>
              <w:left w:val="nil"/>
              <w:bottom w:val="single" w:color="auto" w:sz="8" w:space="0"/>
              <w:right w:val="single" w:color="auto" w:sz="8" w:space="0"/>
            </w:tcBorders>
            <w:vAlign w:val="bottom"/>
          </w:tcPr>
          <w:p>
            <w:pPr>
              <w:spacing w:line="0" w:lineRule="atLeast"/>
              <w:rPr>
                <w:rFonts w:hint="eastAsia" w:ascii="Times New Roman" w:hAnsi="Times New Roman" w:eastAsiaTheme="minorEastAsia"/>
                <w:kern w:val="2"/>
                <w:sz w:val="12"/>
              </w:rPr>
            </w:pPr>
          </w:p>
        </w:tc>
        <w:tc>
          <w:tcPr>
            <w:tcW w:w="85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825"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c>
          <w:tcPr>
            <w:tcW w:w="1800" w:type="dxa"/>
            <w:tcBorders>
              <w:top w:val="nil"/>
              <w:left w:val="nil"/>
              <w:bottom w:val="single" w:color="auto" w:sz="8" w:space="0"/>
              <w:right w:val="single" w:color="auto" w:sz="8" w:space="0"/>
            </w:tcBorders>
            <w:vAlign w:val="bottom"/>
          </w:tcPr>
          <w:p>
            <w:pPr>
              <w:spacing w:line="0" w:lineRule="atLeast"/>
              <w:rPr>
                <w:rFonts w:ascii="Times New Roman" w:hAnsi="Times New Roman" w:eastAsia="Times New Roman"/>
                <w:kern w:val="2"/>
                <w:sz w:val="12"/>
              </w:rPr>
            </w:pPr>
          </w:p>
        </w:tc>
      </w:tr>
    </w:tbl>
    <w:p>
      <w:pPr>
        <w:spacing w:line="366" w:lineRule="exact"/>
        <w:rPr>
          <w:rFonts w:hint="eastAsia" w:ascii="宋体" w:hAnsi="宋体"/>
          <w:sz w:val="32"/>
        </w:rPr>
      </w:pPr>
    </w:p>
    <w:p>
      <w:pPr>
        <w:spacing w:line="400" w:lineRule="exact"/>
        <w:rPr>
          <w:rFonts w:asciiTheme="majorEastAsia" w:hAnsiTheme="majorEastAsia" w:eastAsiaTheme="majorEastAsia"/>
          <w:sz w:val="32"/>
          <w:szCs w:val="32"/>
        </w:rPr>
      </w:pPr>
      <w:r>
        <w:rPr>
          <w:rFonts w:hint="eastAsia" w:asciiTheme="majorEastAsia" w:hAnsiTheme="majorEastAsia" w:eastAsiaTheme="majorEastAsia"/>
          <w:sz w:val="32"/>
          <w:szCs w:val="32"/>
          <w:lang w:val="en-US" w:eastAsia="zh-CN"/>
        </w:rPr>
        <w:t>7</w:t>
      </w:r>
      <w:r>
        <w:rPr>
          <w:rFonts w:asciiTheme="majorEastAsia" w:hAnsiTheme="majorEastAsia" w:eastAsiaTheme="majorEastAsia"/>
          <w:sz w:val="32"/>
          <w:szCs w:val="32"/>
        </w:rPr>
        <w:t>、国有资产信息</w:t>
      </w:r>
    </w:p>
    <w:p>
      <w:pPr>
        <w:spacing w:line="400" w:lineRule="exact"/>
        <w:ind w:firstLine="640" w:firstLineChars="200"/>
        <w:rPr>
          <w:rFonts w:asciiTheme="majorEastAsia" w:hAnsiTheme="majorEastAsia" w:eastAsiaTheme="majorEastAsia"/>
          <w:sz w:val="32"/>
          <w:szCs w:val="32"/>
        </w:rPr>
      </w:pPr>
      <w:r>
        <w:rPr>
          <w:rFonts w:hint="eastAsia" w:asciiTheme="majorEastAsia" w:hAnsiTheme="majorEastAsia" w:eastAsiaTheme="majorEastAsia"/>
          <w:sz w:val="32"/>
          <w:szCs w:val="32"/>
        </w:rPr>
        <w:t>西柏坡纪念馆</w:t>
      </w:r>
      <w:r>
        <w:rPr>
          <w:rFonts w:asciiTheme="majorEastAsia" w:hAnsiTheme="majorEastAsia" w:eastAsiaTheme="majorEastAsia"/>
          <w:sz w:val="32"/>
          <w:szCs w:val="32"/>
        </w:rPr>
        <w:t>上年末资产</w:t>
      </w:r>
      <w:r>
        <w:rPr>
          <w:rFonts w:hint="eastAsia" w:asciiTheme="majorEastAsia" w:hAnsiTheme="majorEastAsia" w:eastAsiaTheme="majorEastAsia"/>
          <w:sz w:val="32"/>
          <w:szCs w:val="32"/>
          <w:lang w:val="en-US" w:eastAsia="zh-CN"/>
        </w:rPr>
        <w:t>总</w:t>
      </w:r>
      <w:r>
        <w:rPr>
          <w:rFonts w:asciiTheme="majorEastAsia" w:hAnsiTheme="majorEastAsia" w:eastAsiaTheme="majorEastAsia"/>
          <w:sz w:val="32"/>
          <w:szCs w:val="32"/>
        </w:rPr>
        <w:t xml:space="preserve">额为 </w:t>
      </w:r>
      <w:r>
        <w:rPr>
          <w:rFonts w:hint="eastAsia" w:asciiTheme="majorEastAsia" w:hAnsiTheme="majorEastAsia" w:eastAsiaTheme="majorEastAsia"/>
          <w:sz w:val="32"/>
          <w:szCs w:val="32"/>
        </w:rPr>
        <w:t>14947.5</w:t>
      </w:r>
      <w:r>
        <w:rPr>
          <w:rFonts w:hint="eastAsia" w:asciiTheme="majorEastAsia" w:hAnsiTheme="majorEastAsia" w:eastAsiaTheme="majorEastAsia"/>
          <w:sz w:val="32"/>
          <w:szCs w:val="32"/>
          <w:lang w:val="en-US" w:eastAsia="zh-CN"/>
        </w:rPr>
        <w:t>5</w:t>
      </w:r>
      <w:r>
        <w:rPr>
          <w:rFonts w:asciiTheme="majorEastAsia" w:hAnsiTheme="majorEastAsia" w:eastAsiaTheme="majorEastAsia"/>
          <w:sz w:val="32"/>
          <w:szCs w:val="32"/>
        </w:rPr>
        <w:t xml:space="preserve"> 万元（详见下表），本年度拟购置固定资产总额为</w:t>
      </w:r>
      <w:r>
        <w:rPr>
          <w:rFonts w:hint="eastAsia" w:asciiTheme="majorEastAsia" w:hAnsiTheme="majorEastAsia" w:eastAsiaTheme="majorEastAsia"/>
          <w:sz w:val="32"/>
          <w:szCs w:val="32"/>
        </w:rPr>
        <w:t>506</w:t>
      </w:r>
      <w:r>
        <w:rPr>
          <w:rFonts w:asciiTheme="majorEastAsia" w:hAnsiTheme="majorEastAsia" w:eastAsiaTheme="majorEastAsia"/>
          <w:sz w:val="32"/>
          <w:szCs w:val="32"/>
        </w:rPr>
        <w:t>万元，主要为</w:t>
      </w:r>
      <w:r>
        <w:rPr>
          <w:rFonts w:hint="eastAsia" w:asciiTheme="majorEastAsia" w:hAnsiTheme="majorEastAsia" w:eastAsiaTheme="majorEastAsia"/>
          <w:sz w:val="32"/>
          <w:szCs w:val="32"/>
        </w:rPr>
        <w:t>办公用品购置、30平米室外LED彩屏、电蓄热锅炉购置</w:t>
      </w:r>
      <w:r>
        <w:rPr>
          <w:rFonts w:asciiTheme="majorEastAsia" w:hAnsiTheme="majorEastAsia" w:eastAsiaTheme="majorEastAsia"/>
          <w:sz w:val="32"/>
          <w:szCs w:val="32"/>
        </w:rPr>
        <w:t>等，已列入政府采购预算，详见政府采购预算表。</w:t>
      </w:r>
    </w:p>
    <w:p>
      <w:pPr>
        <w:spacing w:line="400" w:lineRule="exact"/>
        <w:rPr>
          <w:rFonts w:asciiTheme="majorEastAsia" w:hAnsiTheme="majorEastAsia" w:eastAsiaTheme="majorEastAsia"/>
          <w:sz w:val="32"/>
          <w:szCs w:val="32"/>
        </w:rPr>
      </w:pPr>
    </w:p>
    <w:p>
      <w:pPr>
        <w:spacing w:line="366" w:lineRule="exact"/>
        <w:ind w:left="4180"/>
        <w:rPr>
          <w:rFonts w:hint="eastAsia" w:ascii="宋体" w:hAnsi="宋体"/>
          <w:b/>
          <w:sz w:val="32"/>
        </w:rPr>
      </w:pPr>
    </w:p>
    <w:p>
      <w:pPr>
        <w:spacing w:line="366" w:lineRule="exact"/>
        <w:ind w:left="4180"/>
        <w:rPr>
          <w:rFonts w:hint="eastAsia" w:ascii="宋体" w:hAnsi="宋体"/>
          <w:b/>
          <w:sz w:val="32"/>
        </w:rPr>
      </w:pPr>
    </w:p>
    <w:p>
      <w:pPr>
        <w:spacing w:line="366" w:lineRule="exact"/>
        <w:ind w:left="4180"/>
        <w:rPr>
          <w:rFonts w:hint="eastAsia" w:ascii="宋体" w:hAnsi="宋体"/>
          <w:b/>
          <w:sz w:val="32"/>
        </w:rPr>
      </w:pPr>
    </w:p>
    <w:p>
      <w:pPr>
        <w:spacing w:line="366" w:lineRule="exact"/>
        <w:ind w:left="4180"/>
        <w:rPr>
          <w:rFonts w:ascii="宋体" w:hAnsi="宋体"/>
          <w:b/>
          <w:sz w:val="32"/>
        </w:rPr>
      </w:pPr>
      <w:bookmarkStart w:id="10" w:name="_GoBack"/>
      <w:bookmarkEnd w:id="10"/>
      <w:r>
        <w:rPr>
          <w:rFonts w:hint="eastAsia" w:ascii="宋体" w:hAnsi="宋体"/>
          <w:b/>
          <w:sz w:val="32"/>
        </w:rPr>
        <w:t>西柏坡纪念馆</w:t>
      </w:r>
      <w:r>
        <w:rPr>
          <w:rFonts w:ascii="宋体" w:hAnsi="宋体"/>
          <w:b/>
          <w:sz w:val="32"/>
        </w:rPr>
        <w:t>固定资产占用情况表</w:t>
      </w:r>
    </w:p>
    <w:p>
      <w:pPr>
        <w:spacing w:line="309" w:lineRule="exact"/>
        <w:rPr>
          <w:rFonts w:ascii="Times New Roman" w:hAnsi="Times New Roman" w:eastAsiaTheme="minorEastAsia"/>
        </w:rPr>
      </w:pPr>
    </w:p>
    <w:p>
      <w:pPr>
        <w:spacing w:line="309" w:lineRule="exact"/>
        <w:rPr>
          <w:rFonts w:ascii="Times New Roman" w:hAnsi="Times New Roman" w:eastAsiaTheme="minorEastAsia"/>
        </w:rPr>
      </w:pPr>
    </w:p>
    <w:tbl>
      <w:tblPr>
        <w:tblStyle w:val="5"/>
        <w:tblW w:w="13500" w:type="dxa"/>
        <w:tblInd w:w="0" w:type="dxa"/>
        <w:tblLayout w:type="fixed"/>
        <w:tblCellMar>
          <w:top w:w="0" w:type="dxa"/>
          <w:left w:w="0" w:type="dxa"/>
          <w:bottom w:w="0" w:type="dxa"/>
          <w:right w:w="0" w:type="dxa"/>
        </w:tblCellMar>
      </w:tblPr>
      <w:tblGrid>
        <w:gridCol w:w="2660"/>
        <w:gridCol w:w="2580"/>
        <w:gridCol w:w="3160"/>
        <w:gridCol w:w="5100"/>
      </w:tblGrid>
      <w:tr>
        <w:tblPrEx>
          <w:tblLayout w:type="fixed"/>
          <w:tblCellMar>
            <w:top w:w="0" w:type="dxa"/>
            <w:left w:w="0" w:type="dxa"/>
            <w:bottom w:w="0" w:type="dxa"/>
            <w:right w:w="0" w:type="dxa"/>
          </w:tblCellMar>
        </w:tblPrEx>
        <w:trPr>
          <w:trHeight w:val="251" w:hRule="atLeast"/>
        </w:trPr>
        <w:tc>
          <w:tcPr>
            <w:tcW w:w="2660" w:type="dxa"/>
            <w:shd w:val="clear" w:color="auto" w:fill="auto"/>
            <w:vAlign w:val="bottom"/>
          </w:tcPr>
          <w:p>
            <w:pPr>
              <w:spacing w:line="251" w:lineRule="exact"/>
              <w:ind w:left="120"/>
              <w:rPr>
                <w:rFonts w:ascii="宋体" w:hAnsi="宋体"/>
                <w:sz w:val="22"/>
              </w:rPr>
            </w:pPr>
            <w:r>
              <w:rPr>
                <w:rFonts w:ascii="宋体" w:hAnsi="宋体"/>
                <w:sz w:val="22"/>
              </w:rPr>
              <w:t>编制部门：</w:t>
            </w:r>
            <w:r>
              <w:rPr>
                <w:rFonts w:hint="eastAsia" w:ascii="宋体" w:hAnsi="宋体"/>
                <w:sz w:val="22"/>
              </w:rPr>
              <w:t>西柏坡纪念馆</w:t>
            </w:r>
          </w:p>
        </w:tc>
        <w:tc>
          <w:tcPr>
            <w:tcW w:w="2580" w:type="dxa"/>
            <w:shd w:val="clear" w:color="auto" w:fill="auto"/>
            <w:vAlign w:val="bottom"/>
          </w:tcPr>
          <w:p>
            <w:pPr>
              <w:spacing w:line="0" w:lineRule="atLeast"/>
              <w:rPr>
                <w:rFonts w:ascii="Times New Roman" w:hAnsi="Times New Roman"/>
                <w:sz w:val="21"/>
              </w:rPr>
            </w:pPr>
          </w:p>
        </w:tc>
        <w:tc>
          <w:tcPr>
            <w:tcW w:w="3160" w:type="dxa"/>
            <w:shd w:val="clear" w:color="auto" w:fill="auto"/>
            <w:vAlign w:val="bottom"/>
          </w:tcPr>
          <w:p>
            <w:pPr>
              <w:spacing w:line="0" w:lineRule="atLeast"/>
              <w:rPr>
                <w:rFonts w:ascii="Times New Roman" w:hAnsi="Times New Roman" w:eastAsia="Times New Roman"/>
                <w:sz w:val="21"/>
              </w:rPr>
            </w:pPr>
          </w:p>
        </w:tc>
        <w:tc>
          <w:tcPr>
            <w:tcW w:w="5100" w:type="dxa"/>
            <w:shd w:val="clear" w:color="auto" w:fill="auto"/>
            <w:vAlign w:val="bottom"/>
          </w:tcPr>
          <w:p>
            <w:pPr>
              <w:spacing w:line="251" w:lineRule="exact"/>
              <w:ind w:left="100"/>
              <w:rPr>
                <w:rFonts w:ascii="宋体" w:hAnsi="宋体"/>
                <w:sz w:val="22"/>
              </w:rPr>
            </w:pPr>
            <w:r>
              <w:rPr>
                <w:rFonts w:ascii="宋体" w:hAnsi="宋体"/>
                <w:sz w:val="22"/>
              </w:rPr>
              <w:t>截止时间：2017 年 12 月 31 日</w:t>
            </w:r>
          </w:p>
        </w:tc>
      </w:tr>
      <w:tr>
        <w:tblPrEx>
          <w:tblLayout w:type="fixed"/>
          <w:tblCellMar>
            <w:top w:w="0" w:type="dxa"/>
            <w:left w:w="0" w:type="dxa"/>
            <w:bottom w:w="0" w:type="dxa"/>
            <w:right w:w="0" w:type="dxa"/>
          </w:tblCellMar>
        </w:tblPrEx>
        <w:trPr>
          <w:trHeight w:val="145" w:hRule="atLeast"/>
        </w:trPr>
        <w:tc>
          <w:tcPr>
            <w:tcW w:w="2660" w:type="dxa"/>
            <w:tcBorders>
              <w:bottom w:val="single" w:color="auto" w:sz="8" w:space="0"/>
            </w:tcBorders>
            <w:shd w:val="clear" w:color="auto" w:fill="auto"/>
            <w:vAlign w:val="bottom"/>
          </w:tcPr>
          <w:p>
            <w:pPr>
              <w:spacing w:line="0" w:lineRule="atLeast"/>
              <w:rPr>
                <w:rFonts w:ascii="Times New Roman" w:hAnsi="Times New Roman" w:eastAsia="Times New Roman"/>
                <w:sz w:val="12"/>
              </w:rPr>
            </w:pPr>
          </w:p>
        </w:tc>
        <w:tc>
          <w:tcPr>
            <w:tcW w:w="2580" w:type="dxa"/>
            <w:tcBorders>
              <w:bottom w:val="single" w:color="auto" w:sz="8" w:space="0"/>
            </w:tcBorders>
            <w:shd w:val="clear" w:color="auto" w:fill="auto"/>
            <w:vAlign w:val="bottom"/>
          </w:tcPr>
          <w:p>
            <w:pPr>
              <w:spacing w:line="0" w:lineRule="atLeast"/>
              <w:rPr>
                <w:rFonts w:ascii="Times New Roman" w:hAnsi="Times New Roman" w:eastAsia="Times New Roman"/>
                <w:sz w:val="12"/>
              </w:rPr>
            </w:pPr>
          </w:p>
        </w:tc>
        <w:tc>
          <w:tcPr>
            <w:tcW w:w="3160" w:type="dxa"/>
            <w:tcBorders>
              <w:bottom w:val="single" w:color="auto" w:sz="8" w:space="0"/>
            </w:tcBorders>
            <w:shd w:val="clear" w:color="auto" w:fill="auto"/>
            <w:vAlign w:val="bottom"/>
          </w:tcPr>
          <w:p>
            <w:pPr>
              <w:spacing w:line="0" w:lineRule="atLeast"/>
              <w:rPr>
                <w:rFonts w:ascii="Times New Roman" w:hAnsi="Times New Roman" w:eastAsia="Times New Roman"/>
                <w:sz w:val="12"/>
              </w:rPr>
            </w:pPr>
          </w:p>
        </w:tc>
        <w:tc>
          <w:tcPr>
            <w:tcW w:w="5100" w:type="dxa"/>
            <w:tcBorders>
              <w:bottom w:val="single" w:color="auto" w:sz="8" w:space="0"/>
            </w:tcBorders>
            <w:shd w:val="clear" w:color="auto" w:fill="auto"/>
            <w:vAlign w:val="bottom"/>
          </w:tcPr>
          <w:p>
            <w:pPr>
              <w:spacing w:line="0" w:lineRule="atLeast"/>
              <w:rPr>
                <w:rFonts w:ascii="Times New Roman" w:hAnsi="Times New Roman" w:eastAsia="Times New Roman"/>
                <w:sz w:val="12"/>
              </w:rPr>
            </w:pPr>
          </w:p>
        </w:tc>
      </w:tr>
      <w:tr>
        <w:tblPrEx>
          <w:tblLayout w:type="fixed"/>
          <w:tblCellMar>
            <w:top w:w="0" w:type="dxa"/>
            <w:left w:w="0" w:type="dxa"/>
            <w:bottom w:w="0" w:type="dxa"/>
            <w:right w:w="0" w:type="dxa"/>
          </w:tblCellMar>
        </w:tblPrEx>
        <w:trPr>
          <w:trHeight w:val="423" w:hRule="atLeast"/>
        </w:trPr>
        <w:tc>
          <w:tcPr>
            <w:tcW w:w="2660" w:type="dxa"/>
            <w:tcBorders>
              <w:left w:val="single" w:color="auto" w:sz="8" w:space="0"/>
            </w:tcBorders>
            <w:shd w:val="clear" w:color="auto" w:fill="auto"/>
            <w:vAlign w:val="bottom"/>
          </w:tcPr>
          <w:p>
            <w:pPr>
              <w:spacing w:line="251" w:lineRule="exact"/>
              <w:ind w:left="2240"/>
              <w:rPr>
                <w:rFonts w:ascii="宋体" w:hAnsi="宋体"/>
                <w:b/>
                <w:sz w:val="22"/>
              </w:rPr>
            </w:pPr>
            <w:r>
              <w:rPr>
                <w:rFonts w:ascii="宋体" w:hAnsi="宋体"/>
                <w:b/>
                <w:sz w:val="22"/>
              </w:rPr>
              <w:t>项</w:t>
            </w:r>
          </w:p>
        </w:tc>
        <w:tc>
          <w:tcPr>
            <w:tcW w:w="2580" w:type="dxa"/>
            <w:tcBorders>
              <w:right w:val="single" w:color="auto" w:sz="8" w:space="0"/>
            </w:tcBorders>
            <w:shd w:val="clear" w:color="auto" w:fill="auto"/>
            <w:vAlign w:val="bottom"/>
          </w:tcPr>
          <w:p>
            <w:pPr>
              <w:spacing w:line="251" w:lineRule="exact"/>
              <w:ind w:left="120"/>
              <w:rPr>
                <w:rFonts w:ascii="宋体" w:hAnsi="宋体"/>
                <w:b/>
                <w:sz w:val="22"/>
              </w:rPr>
            </w:pPr>
            <w:r>
              <w:rPr>
                <w:rFonts w:ascii="宋体" w:hAnsi="宋体"/>
                <w:b/>
                <w:sz w:val="22"/>
              </w:rPr>
              <w:t>目</w:t>
            </w:r>
          </w:p>
        </w:tc>
        <w:tc>
          <w:tcPr>
            <w:tcW w:w="3160" w:type="dxa"/>
            <w:tcBorders>
              <w:right w:val="single" w:color="auto" w:sz="8" w:space="0"/>
            </w:tcBorders>
            <w:shd w:val="clear" w:color="auto" w:fill="auto"/>
            <w:vAlign w:val="bottom"/>
          </w:tcPr>
          <w:p>
            <w:pPr>
              <w:spacing w:line="251" w:lineRule="exact"/>
              <w:jc w:val="center"/>
              <w:rPr>
                <w:rFonts w:ascii="宋体" w:hAnsi="宋体"/>
                <w:b/>
                <w:w w:val="99"/>
                <w:sz w:val="22"/>
              </w:rPr>
            </w:pPr>
            <w:r>
              <w:rPr>
                <w:rFonts w:ascii="宋体" w:hAnsi="宋体"/>
                <w:b/>
                <w:w w:val="99"/>
                <w:sz w:val="22"/>
              </w:rPr>
              <w:t>数量</w:t>
            </w:r>
          </w:p>
        </w:tc>
        <w:tc>
          <w:tcPr>
            <w:tcW w:w="5100" w:type="dxa"/>
            <w:tcBorders>
              <w:right w:val="single" w:color="auto" w:sz="8" w:space="0"/>
            </w:tcBorders>
            <w:shd w:val="clear" w:color="auto" w:fill="auto"/>
            <w:vAlign w:val="bottom"/>
          </w:tcPr>
          <w:p>
            <w:pPr>
              <w:spacing w:line="251" w:lineRule="exact"/>
              <w:jc w:val="center"/>
              <w:rPr>
                <w:rFonts w:ascii="宋体" w:hAnsi="宋体"/>
                <w:b/>
                <w:sz w:val="22"/>
              </w:rPr>
            </w:pPr>
            <w:r>
              <w:rPr>
                <w:rFonts w:ascii="宋体" w:hAnsi="宋体"/>
                <w:b/>
                <w:sz w:val="22"/>
              </w:rPr>
              <w:t>价值（金额单位：万元）</w:t>
            </w:r>
          </w:p>
        </w:tc>
      </w:tr>
      <w:tr>
        <w:tblPrEx>
          <w:tblLayout w:type="fixed"/>
          <w:tblCellMar>
            <w:top w:w="0" w:type="dxa"/>
            <w:left w:w="0" w:type="dxa"/>
            <w:bottom w:w="0" w:type="dxa"/>
            <w:right w:w="0" w:type="dxa"/>
          </w:tblCellMar>
        </w:tblPrEx>
        <w:trPr>
          <w:trHeight w:val="212" w:hRule="atLeast"/>
        </w:trPr>
        <w:tc>
          <w:tcPr>
            <w:tcW w:w="5240" w:type="dxa"/>
            <w:gridSpan w:val="2"/>
            <w:tcBorders>
              <w:left w:val="single" w:color="auto" w:sz="8" w:space="0"/>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8"/>
              </w:rPr>
            </w:pPr>
          </w:p>
        </w:tc>
        <w:tc>
          <w:tcPr>
            <w:tcW w:w="316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8"/>
              </w:rPr>
            </w:pPr>
          </w:p>
        </w:tc>
        <w:tc>
          <w:tcPr>
            <w:tcW w:w="510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8"/>
              </w:rPr>
            </w:pPr>
          </w:p>
        </w:tc>
      </w:tr>
      <w:tr>
        <w:tblPrEx>
          <w:tblLayout w:type="fixed"/>
          <w:tblCellMar>
            <w:top w:w="0" w:type="dxa"/>
            <w:left w:w="0" w:type="dxa"/>
            <w:bottom w:w="0" w:type="dxa"/>
            <w:right w:w="0" w:type="dxa"/>
          </w:tblCellMar>
        </w:tblPrEx>
        <w:trPr>
          <w:trHeight w:val="442" w:hRule="atLeast"/>
        </w:trPr>
        <w:tc>
          <w:tcPr>
            <w:tcW w:w="5240" w:type="dxa"/>
            <w:gridSpan w:val="2"/>
            <w:tcBorders>
              <w:left w:val="single" w:color="auto" w:sz="8" w:space="0"/>
              <w:right w:val="single" w:color="auto" w:sz="8" w:space="0"/>
            </w:tcBorders>
            <w:shd w:val="clear" w:color="auto" w:fill="auto"/>
            <w:vAlign w:val="bottom"/>
          </w:tcPr>
          <w:p>
            <w:pPr>
              <w:spacing w:line="251" w:lineRule="exact"/>
              <w:ind w:left="2180"/>
              <w:rPr>
                <w:rFonts w:ascii="宋体" w:hAnsi="宋体"/>
                <w:sz w:val="22"/>
              </w:rPr>
            </w:pPr>
            <w:r>
              <w:rPr>
                <w:rFonts w:ascii="宋体" w:hAnsi="宋体"/>
                <w:sz w:val="22"/>
              </w:rPr>
              <w:t>资产总额</w:t>
            </w:r>
          </w:p>
        </w:tc>
        <w:tc>
          <w:tcPr>
            <w:tcW w:w="3160" w:type="dxa"/>
            <w:tcBorders>
              <w:right w:val="single" w:color="auto" w:sz="8" w:space="0"/>
            </w:tcBorders>
            <w:shd w:val="clear" w:color="auto" w:fill="auto"/>
            <w:vAlign w:val="bottom"/>
          </w:tcPr>
          <w:p>
            <w:pPr>
              <w:spacing w:line="0" w:lineRule="atLeast"/>
              <w:jc w:val="center"/>
              <w:rPr>
                <w:rFonts w:ascii="Arial" w:hAnsi="Arial" w:eastAsia="Arial"/>
                <w:w w:val="99"/>
                <w:sz w:val="22"/>
              </w:rPr>
            </w:pPr>
            <w:r>
              <w:rPr>
                <w:rFonts w:ascii="Arial" w:hAnsi="Arial" w:eastAsia="Arial"/>
                <w:w w:val="99"/>
                <w:sz w:val="22"/>
              </w:rPr>
              <w:t>——</w:t>
            </w:r>
          </w:p>
        </w:tc>
        <w:tc>
          <w:tcPr>
            <w:tcW w:w="5100" w:type="dxa"/>
            <w:tcBorders>
              <w:right w:val="single" w:color="auto" w:sz="8" w:space="0"/>
            </w:tcBorders>
            <w:shd w:val="clear" w:color="auto" w:fill="auto"/>
            <w:vAlign w:val="bottom"/>
          </w:tcPr>
          <w:p>
            <w:pPr>
              <w:spacing w:line="0" w:lineRule="atLeast"/>
              <w:jc w:val="center"/>
              <w:rPr>
                <w:rFonts w:hint="eastAsia" w:eastAsia="宋体"/>
                <w:sz w:val="22"/>
                <w:lang w:val="en-US" w:eastAsia="zh-CN"/>
              </w:rPr>
            </w:pPr>
            <w:r>
              <w:rPr>
                <w:rFonts w:hint="eastAsia"/>
                <w:sz w:val="22"/>
                <w:lang w:val="en-US" w:eastAsia="zh-CN"/>
              </w:rPr>
              <w:t>14947.55</w:t>
            </w:r>
          </w:p>
        </w:tc>
      </w:tr>
      <w:tr>
        <w:tblPrEx>
          <w:tblLayout w:type="fixed"/>
          <w:tblCellMar>
            <w:top w:w="0" w:type="dxa"/>
            <w:left w:w="0" w:type="dxa"/>
            <w:bottom w:w="0" w:type="dxa"/>
            <w:right w:w="0" w:type="dxa"/>
          </w:tblCellMar>
        </w:tblPrEx>
        <w:trPr>
          <w:trHeight w:val="194" w:hRule="atLeast"/>
        </w:trPr>
        <w:tc>
          <w:tcPr>
            <w:tcW w:w="2660" w:type="dxa"/>
            <w:tcBorders>
              <w:left w:val="single" w:color="auto" w:sz="8" w:space="0"/>
              <w:bottom w:val="single" w:color="auto" w:sz="8" w:space="0"/>
            </w:tcBorders>
            <w:shd w:val="clear" w:color="auto" w:fill="auto"/>
            <w:vAlign w:val="bottom"/>
          </w:tcPr>
          <w:p>
            <w:pPr>
              <w:spacing w:line="0" w:lineRule="atLeast"/>
              <w:rPr>
                <w:rFonts w:ascii="Times New Roman" w:hAnsi="Times New Roman" w:eastAsia="Times New Roman"/>
                <w:sz w:val="16"/>
              </w:rPr>
            </w:pPr>
          </w:p>
        </w:tc>
        <w:tc>
          <w:tcPr>
            <w:tcW w:w="258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6"/>
              </w:rPr>
            </w:pPr>
          </w:p>
        </w:tc>
        <w:tc>
          <w:tcPr>
            <w:tcW w:w="316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6"/>
              </w:rPr>
            </w:pPr>
          </w:p>
        </w:tc>
        <w:tc>
          <w:tcPr>
            <w:tcW w:w="510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6"/>
              </w:rPr>
            </w:pPr>
          </w:p>
        </w:tc>
      </w:tr>
      <w:tr>
        <w:tblPrEx>
          <w:tblLayout w:type="fixed"/>
          <w:tblCellMar>
            <w:top w:w="0" w:type="dxa"/>
            <w:left w:w="0" w:type="dxa"/>
            <w:bottom w:w="0" w:type="dxa"/>
            <w:right w:w="0" w:type="dxa"/>
          </w:tblCellMar>
        </w:tblPrEx>
        <w:trPr>
          <w:trHeight w:val="442" w:hRule="atLeast"/>
        </w:trPr>
        <w:tc>
          <w:tcPr>
            <w:tcW w:w="2660" w:type="dxa"/>
            <w:tcBorders>
              <w:left w:val="single" w:color="auto" w:sz="8" w:space="0"/>
            </w:tcBorders>
            <w:shd w:val="clear" w:color="auto" w:fill="auto"/>
            <w:vAlign w:val="bottom"/>
          </w:tcPr>
          <w:p>
            <w:pPr>
              <w:spacing w:line="251" w:lineRule="exact"/>
              <w:ind w:left="120"/>
              <w:rPr>
                <w:rFonts w:ascii="宋体" w:hAnsi="宋体"/>
                <w:sz w:val="22"/>
              </w:rPr>
            </w:pPr>
            <w:r>
              <w:rPr>
                <w:rFonts w:ascii="宋体" w:hAnsi="宋体"/>
                <w:sz w:val="22"/>
              </w:rPr>
              <w:t>1、房屋（平方米）</w:t>
            </w:r>
          </w:p>
        </w:tc>
        <w:tc>
          <w:tcPr>
            <w:tcW w:w="2580" w:type="dxa"/>
            <w:tcBorders>
              <w:right w:val="single" w:color="auto" w:sz="8" w:space="0"/>
            </w:tcBorders>
            <w:shd w:val="clear" w:color="auto" w:fill="auto"/>
            <w:vAlign w:val="bottom"/>
          </w:tcPr>
          <w:p>
            <w:pPr>
              <w:spacing w:line="0" w:lineRule="atLeast"/>
              <w:rPr>
                <w:rFonts w:ascii="Times New Roman" w:hAnsi="Times New Roman" w:eastAsia="Times New Roman"/>
                <w:sz w:val="24"/>
              </w:rPr>
            </w:pPr>
          </w:p>
        </w:tc>
        <w:tc>
          <w:tcPr>
            <w:tcW w:w="3160" w:type="dxa"/>
            <w:tcBorders>
              <w:right w:val="single" w:color="auto" w:sz="8" w:space="0"/>
            </w:tcBorders>
            <w:shd w:val="clear" w:color="auto" w:fill="auto"/>
            <w:vAlign w:val="bottom"/>
          </w:tcPr>
          <w:p>
            <w:pPr>
              <w:spacing w:line="0" w:lineRule="atLeast"/>
              <w:jc w:val="center"/>
              <w:rPr>
                <w:sz w:val="22"/>
              </w:rPr>
            </w:pPr>
            <w:r>
              <w:rPr>
                <w:rFonts w:hint="eastAsia" w:ascii="Times New Roman" w:hAnsi="Times New Roman" w:eastAsiaTheme="minorEastAsia"/>
                <w:sz w:val="16"/>
              </w:rPr>
              <w:t>32863</w:t>
            </w:r>
          </w:p>
        </w:tc>
        <w:tc>
          <w:tcPr>
            <w:tcW w:w="5100" w:type="dxa"/>
            <w:tcBorders>
              <w:right w:val="single" w:color="auto" w:sz="8" w:space="0"/>
            </w:tcBorders>
            <w:shd w:val="clear" w:color="auto" w:fill="auto"/>
            <w:vAlign w:val="bottom"/>
          </w:tcPr>
          <w:p>
            <w:pPr>
              <w:spacing w:line="0" w:lineRule="atLeast"/>
              <w:ind w:firstLine="2200" w:firstLineChars="1000"/>
              <w:rPr>
                <w:sz w:val="22"/>
              </w:rPr>
            </w:pPr>
            <w:r>
              <w:rPr>
                <w:rFonts w:hint="eastAsia"/>
                <w:sz w:val="22"/>
              </w:rPr>
              <w:t>7493.47</w:t>
            </w:r>
          </w:p>
        </w:tc>
      </w:tr>
      <w:tr>
        <w:tblPrEx>
          <w:tblLayout w:type="fixed"/>
          <w:tblCellMar>
            <w:top w:w="0" w:type="dxa"/>
            <w:left w:w="0" w:type="dxa"/>
            <w:bottom w:w="0" w:type="dxa"/>
            <w:right w:w="0" w:type="dxa"/>
          </w:tblCellMar>
        </w:tblPrEx>
        <w:trPr>
          <w:trHeight w:val="193" w:hRule="atLeast"/>
        </w:trPr>
        <w:tc>
          <w:tcPr>
            <w:tcW w:w="5240" w:type="dxa"/>
            <w:gridSpan w:val="2"/>
            <w:tcBorders>
              <w:left w:val="single" w:color="auto" w:sz="8" w:space="0"/>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6"/>
              </w:rPr>
            </w:pPr>
          </w:p>
        </w:tc>
        <w:tc>
          <w:tcPr>
            <w:tcW w:w="316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heme="minorEastAsia"/>
                <w:sz w:val="16"/>
              </w:rPr>
            </w:pPr>
          </w:p>
        </w:tc>
        <w:tc>
          <w:tcPr>
            <w:tcW w:w="510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6"/>
              </w:rPr>
            </w:pPr>
          </w:p>
        </w:tc>
      </w:tr>
      <w:tr>
        <w:tblPrEx>
          <w:tblLayout w:type="fixed"/>
          <w:tblCellMar>
            <w:top w:w="0" w:type="dxa"/>
            <w:left w:w="0" w:type="dxa"/>
            <w:bottom w:w="0" w:type="dxa"/>
            <w:right w:w="0" w:type="dxa"/>
          </w:tblCellMar>
        </w:tblPrEx>
        <w:trPr>
          <w:trHeight w:val="442" w:hRule="atLeast"/>
        </w:trPr>
        <w:tc>
          <w:tcPr>
            <w:tcW w:w="5240" w:type="dxa"/>
            <w:gridSpan w:val="2"/>
            <w:tcBorders>
              <w:left w:val="single" w:color="auto" w:sz="8" w:space="0"/>
              <w:right w:val="single" w:color="auto" w:sz="8" w:space="0"/>
            </w:tcBorders>
            <w:shd w:val="clear" w:color="auto" w:fill="auto"/>
            <w:vAlign w:val="bottom"/>
          </w:tcPr>
          <w:p>
            <w:pPr>
              <w:spacing w:line="251" w:lineRule="exact"/>
              <w:ind w:left="440"/>
              <w:rPr>
                <w:rFonts w:ascii="宋体" w:hAnsi="宋体"/>
                <w:sz w:val="22"/>
              </w:rPr>
            </w:pPr>
            <w:r>
              <w:rPr>
                <w:rFonts w:ascii="宋体" w:hAnsi="宋体"/>
                <w:sz w:val="22"/>
              </w:rPr>
              <w:t>其中：办公用房（平方米）</w:t>
            </w:r>
          </w:p>
        </w:tc>
        <w:tc>
          <w:tcPr>
            <w:tcW w:w="3160" w:type="dxa"/>
            <w:tcBorders>
              <w:right w:val="single" w:color="auto" w:sz="8" w:space="0"/>
            </w:tcBorders>
            <w:shd w:val="clear" w:color="auto" w:fill="auto"/>
            <w:vAlign w:val="bottom"/>
          </w:tcPr>
          <w:p>
            <w:pPr>
              <w:spacing w:line="0" w:lineRule="atLeast"/>
              <w:jc w:val="center"/>
              <w:rPr>
                <w:sz w:val="22"/>
              </w:rPr>
            </w:pPr>
            <w:r>
              <w:rPr>
                <w:rFonts w:hint="eastAsia"/>
                <w:sz w:val="22"/>
              </w:rPr>
              <w:t>7539</w:t>
            </w:r>
          </w:p>
        </w:tc>
        <w:tc>
          <w:tcPr>
            <w:tcW w:w="5100" w:type="dxa"/>
            <w:tcBorders>
              <w:right w:val="single" w:color="auto" w:sz="8" w:space="0"/>
            </w:tcBorders>
            <w:shd w:val="clear" w:color="auto" w:fill="auto"/>
            <w:vAlign w:val="bottom"/>
          </w:tcPr>
          <w:p>
            <w:pPr>
              <w:spacing w:line="0" w:lineRule="atLeast"/>
              <w:jc w:val="center"/>
              <w:rPr>
                <w:w w:val="99"/>
                <w:sz w:val="22"/>
              </w:rPr>
            </w:pPr>
            <w:r>
              <w:rPr>
                <w:rFonts w:hint="eastAsia"/>
                <w:sz w:val="22"/>
              </w:rPr>
              <w:t>548.62</w:t>
            </w:r>
          </w:p>
        </w:tc>
      </w:tr>
      <w:tr>
        <w:tblPrEx>
          <w:tblLayout w:type="fixed"/>
          <w:tblCellMar>
            <w:top w:w="0" w:type="dxa"/>
            <w:left w:w="0" w:type="dxa"/>
            <w:bottom w:w="0" w:type="dxa"/>
            <w:right w:w="0" w:type="dxa"/>
          </w:tblCellMar>
        </w:tblPrEx>
        <w:trPr>
          <w:trHeight w:val="193" w:hRule="atLeast"/>
        </w:trPr>
        <w:tc>
          <w:tcPr>
            <w:tcW w:w="2660" w:type="dxa"/>
            <w:tcBorders>
              <w:left w:val="single" w:color="auto" w:sz="8" w:space="0"/>
              <w:bottom w:val="single" w:color="auto" w:sz="8" w:space="0"/>
            </w:tcBorders>
            <w:shd w:val="clear" w:color="auto" w:fill="auto"/>
            <w:vAlign w:val="bottom"/>
          </w:tcPr>
          <w:p>
            <w:pPr>
              <w:spacing w:line="0" w:lineRule="atLeast"/>
              <w:rPr>
                <w:rFonts w:ascii="Times New Roman" w:hAnsi="Times New Roman" w:eastAsia="Times New Roman"/>
                <w:sz w:val="16"/>
              </w:rPr>
            </w:pPr>
          </w:p>
        </w:tc>
        <w:tc>
          <w:tcPr>
            <w:tcW w:w="258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6"/>
              </w:rPr>
            </w:pPr>
          </w:p>
        </w:tc>
        <w:tc>
          <w:tcPr>
            <w:tcW w:w="316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6"/>
              </w:rPr>
            </w:pPr>
          </w:p>
        </w:tc>
        <w:tc>
          <w:tcPr>
            <w:tcW w:w="510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6"/>
              </w:rPr>
            </w:pPr>
          </w:p>
        </w:tc>
      </w:tr>
      <w:tr>
        <w:tblPrEx>
          <w:tblLayout w:type="fixed"/>
          <w:tblCellMar>
            <w:top w:w="0" w:type="dxa"/>
            <w:left w:w="0" w:type="dxa"/>
            <w:bottom w:w="0" w:type="dxa"/>
            <w:right w:w="0" w:type="dxa"/>
          </w:tblCellMar>
        </w:tblPrEx>
        <w:trPr>
          <w:trHeight w:val="440" w:hRule="atLeast"/>
        </w:trPr>
        <w:tc>
          <w:tcPr>
            <w:tcW w:w="2660" w:type="dxa"/>
            <w:tcBorders>
              <w:left w:val="single" w:color="auto" w:sz="8" w:space="0"/>
            </w:tcBorders>
            <w:shd w:val="clear" w:color="auto" w:fill="auto"/>
            <w:vAlign w:val="bottom"/>
          </w:tcPr>
          <w:p>
            <w:pPr>
              <w:spacing w:line="251" w:lineRule="exact"/>
              <w:ind w:left="120"/>
              <w:rPr>
                <w:rFonts w:ascii="宋体" w:hAnsi="宋体"/>
                <w:sz w:val="22"/>
              </w:rPr>
            </w:pPr>
            <w:r>
              <w:rPr>
                <w:rFonts w:ascii="宋体" w:hAnsi="宋体"/>
                <w:sz w:val="22"/>
              </w:rPr>
              <w:t>2、车辆（台、辆）</w:t>
            </w:r>
          </w:p>
        </w:tc>
        <w:tc>
          <w:tcPr>
            <w:tcW w:w="2580" w:type="dxa"/>
            <w:tcBorders>
              <w:right w:val="single" w:color="auto" w:sz="8" w:space="0"/>
            </w:tcBorders>
            <w:shd w:val="clear" w:color="auto" w:fill="auto"/>
            <w:vAlign w:val="bottom"/>
          </w:tcPr>
          <w:p>
            <w:pPr>
              <w:spacing w:line="0" w:lineRule="atLeast"/>
              <w:rPr>
                <w:rFonts w:ascii="Times New Roman" w:hAnsi="Times New Roman" w:eastAsia="Times New Roman"/>
                <w:sz w:val="24"/>
              </w:rPr>
            </w:pPr>
          </w:p>
        </w:tc>
        <w:tc>
          <w:tcPr>
            <w:tcW w:w="3160" w:type="dxa"/>
            <w:tcBorders>
              <w:right w:val="single" w:color="auto" w:sz="8" w:space="0"/>
            </w:tcBorders>
            <w:shd w:val="clear" w:color="auto" w:fill="auto"/>
            <w:vAlign w:val="bottom"/>
          </w:tcPr>
          <w:p>
            <w:pPr>
              <w:spacing w:line="0" w:lineRule="atLeast"/>
              <w:jc w:val="center"/>
              <w:rPr>
                <w:w w:val="98"/>
                <w:sz w:val="22"/>
              </w:rPr>
            </w:pPr>
            <w:r>
              <w:rPr>
                <w:rFonts w:hint="eastAsia"/>
                <w:w w:val="98"/>
                <w:sz w:val="22"/>
              </w:rPr>
              <w:t>14</w:t>
            </w:r>
          </w:p>
        </w:tc>
        <w:tc>
          <w:tcPr>
            <w:tcW w:w="5100" w:type="dxa"/>
            <w:tcBorders>
              <w:right w:val="single" w:color="auto" w:sz="8" w:space="0"/>
            </w:tcBorders>
            <w:shd w:val="clear" w:color="auto" w:fill="auto"/>
            <w:vAlign w:val="bottom"/>
          </w:tcPr>
          <w:p>
            <w:pPr>
              <w:spacing w:line="0" w:lineRule="atLeast"/>
              <w:jc w:val="center"/>
              <w:rPr>
                <w:w w:val="99"/>
                <w:sz w:val="22"/>
              </w:rPr>
            </w:pPr>
            <w:r>
              <w:rPr>
                <w:rFonts w:hint="eastAsia"/>
                <w:w w:val="99"/>
                <w:sz w:val="22"/>
              </w:rPr>
              <w:t>284.72</w:t>
            </w:r>
          </w:p>
        </w:tc>
      </w:tr>
      <w:tr>
        <w:tblPrEx>
          <w:tblLayout w:type="fixed"/>
          <w:tblCellMar>
            <w:top w:w="0" w:type="dxa"/>
            <w:left w:w="0" w:type="dxa"/>
            <w:bottom w:w="0" w:type="dxa"/>
            <w:right w:w="0" w:type="dxa"/>
          </w:tblCellMar>
        </w:tblPrEx>
        <w:trPr>
          <w:trHeight w:val="196" w:hRule="atLeast"/>
        </w:trPr>
        <w:tc>
          <w:tcPr>
            <w:tcW w:w="5240" w:type="dxa"/>
            <w:gridSpan w:val="2"/>
            <w:tcBorders>
              <w:left w:val="single" w:color="auto" w:sz="8" w:space="0"/>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7"/>
              </w:rPr>
            </w:pPr>
          </w:p>
        </w:tc>
        <w:tc>
          <w:tcPr>
            <w:tcW w:w="316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7"/>
              </w:rPr>
            </w:pPr>
          </w:p>
        </w:tc>
        <w:tc>
          <w:tcPr>
            <w:tcW w:w="510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7"/>
              </w:rPr>
            </w:pPr>
          </w:p>
        </w:tc>
      </w:tr>
      <w:tr>
        <w:tblPrEx>
          <w:tblLayout w:type="fixed"/>
          <w:tblCellMar>
            <w:top w:w="0" w:type="dxa"/>
            <w:left w:w="0" w:type="dxa"/>
            <w:bottom w:w="0" w:type="dxa"/>
            <w:right w:w="0" w:type="dxa"/>
          </w:tblCellMar>
        </w:tblPrEx>
        <w:trPr>
          <w:trHeight w:val="440" w:hRule="atLeast"/>
        </w:trPr>
        <w:tc>
          <w:tcPr>
            <w:tcW w:w="5240" w:type="dxa"/>
            <w:gridSpan w:val="2"/>
            <w:tcBorders>
              <w:left w:val="single" w:color="auto" w:sz="8" w:space="0"/>
              <w:right w:val="single" w:color="auto" w:sz="8" w:space="0"/>
            </w:tcBorders>
            <w:shd w:val="clear" w:color="auto" w:fill="auto"/>
            <w:vAlign w:val="bottom"/>
          </w:tcPr>
          <w:p>
            <w:pPr>
              <w:spacing w:line="251" w:lineRule="exact"/>
              <w:ind w:left="120"/>
              <w:rPr>
                <w:rFonts w:ascii="宋体" w:hAnsi="宋体"/>
                <w:sz w:val="22"/>
              </w:rPr>
            </w:pPr>
            <w:r>
              <w:rPr>
                <w:rFonts w:ascii="宋体" w:hAnsi="宋体"/>
                <w:sz w:val="22"/>
              </w:rPr>
              <w:t>3、单价在 20 万元以上的设备</w:t>
            </w:r>
          </w:p>
        </w:tc>
        <w:tc>
          <w:tcPr>
            <w:tcW w:w="3160" w:type="dxa"/>
            <w:tcBorders>
              <w:right w:val="single" w:color="auto" w:sz="8" w:space="0"/>
            </w:tcBorders>
            <w:shd w:val="clear" w:color="auto" w:fill="auto"/>
            <w:vAlign w:val="bottom"/>
          </w:tcPr>
          <w:p>
            <w:pPr>
              <w:spacing w:line="0" w:lineRule="atLeast"/>
              <w:rPr>
                <w:rFonts w:ascii="Times New Roman" w:hAnsi="Times New Roman" w:eastAsiaTheme="minorEastAsia"/>
                <w:sz w:val="24"/>
              </w:rPr>
            </w:pPr>
            <w:r>
              <w:rPr>
                <w:rFonts w:hint="eastAsia" w:ascii="Times New Roman" w:hAnsi="Times New Roman" w:eastAsiaTheme="minorEastAsia"/>
                <w:sz w:val="24"/>
              </w:rPr>
              <w:t xml:space="preserve">             3</w:t>
            </w:r>
          </w:p>
        </w:tc>
        <w:tc>
          <w:tcPr>
            <w:tcW w:w="5100" w:type="dxa"/>
            <w:tcBorders>
              <w:right w:val="single" w:color="auto" w:sz="8" w:space="0"/>
            </w:tcBorders>
            <w:shd w:val="clear" w:color="auto" w:fill="auto"/>
            <w:vAlign w:val="bottom"/>
          </w:tcPr>
          <w:p>
            <w:pPr>
              <w:spacing w:line="0" w:lineRule="atLeast"/>
              <w:jc w:val="center"/>
              <w:rPr>
                <w:w w:val="99"/>
                <w:sz w:val="22"/>
              </w:rPr>
            </w:pPr>
            <w:r>
              <w:rPr>
                <w:rFonts w:hint="eastAsia"/>
                <w:w w:val="99"/>
                <w:sz w:val="22"/>
              </w:rPr>
              <w:t>401.16</w:t>
            </w:r>
          </w:p>
        </w:tc>
      </w:tr>
      <w:tr>
        <w:tblPrEx>
          <w:tblLayout w:type="fixed"/>
          <w:tblCellMar>
            <w:top w:w="0" w:type="dxa"/>
            <w:left w:w="0" w:type="dxa"/>
            <w:bottom w:w="0" w:type="dxa"/>
            <w:right w:w="0" w:type="dxa"/>
          </w:tblCellMar>
        </w:tblPrEx>
        <w:trPr>
          <w:trHeight w:val="196" w:hRule="atLeast"/>
        </w:trPr>
        <w:tc>
          <w:tcPr>
            <w:tcW w:w="2660" w:type="dxa"/>
            <w:tcBorders>
              <w:left w:val="single" w:color="auto" w:sz="8" w:space="0"/>
              <w:bottom w:val="single" w:color="auto" w:sz="8" w:space="0"/>
            </w:tcBorders>
            <w:shd w:val="clear" w:color="auto" w:fill="auto"/>
            <w:vAlign w:val="bottom"/>
          </w:tcPr>
          <w:p>
            <w:pPr>
              <w:spacing w:line="0" w:lineRule="atLeast"/>
              <w:rPr>
                <w:rFonts w:ascii="Times New Roman" w:hAnsi="Times New Roman" w:eastAsia="Times New Roman"/>
                <w:sz w:val="17"/>
              </w:rPr>
            </w:pPr>
          </w:p>
        </w:tc>
        <w:tc>
          <w:tcPr>
            <w:tcW w:w="258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7"/>
              </w:rPr>
            </w:pPr>
          </w:p>
        </w:tc>
        <w:tc>
          <w:tcPr>
            <w:tcW w:w="316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7"/>
              </w:rPr>
            </w:pPr>
          </w:p>
        </w:tc>
        <w:tc>
          <w:tcPr>
            <w:tcW w:w="510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7"/>
              </w:rPr>
            </w:pPr>
          </w:p>
        </w:tc>
      </w:tr>
      <w:tr>
        <w:tblPrEx>
          <w:tblLayout w:type="fixed"/>
          <w:tblCellMar>
            <w:top w:w="0" w:type="dxa"/>
            <w:left w:w="0" w:type="dxa"/>
            <w:bottom w:w="0" w:type="dxa"/>
            <w:right w:w="0" w:type="dxa"/>
          </w:tblCellMar>
        </w:tblPrEx>
        <w:trPr>
          <w:trHeight w:val="440" w:hRule="atLeast"/>
        </w:trPr>
        <w:tc>
          <w:tcPr>
            <w:tcW w:w="2660" w:type="dxa"/>
            <w:tcBorders>
              <w:left w:val="single" w:color="auto" w:sz="8" w:space="0"/>
            </w:tcBorders>
            <w:shd w:val="clear" w:color="auto" w:fill="auto"/>
            <w:vAlign w:val="bottom"/>
          </w:tcPr>
          <w:p>
            <w:pPr>
              <w:spacing w:line="251" w:lineRule="exact"/>
              <w:ind w:left="120"/>
              <w:rPr>
                <w:rFonts w:ascii="宋体" w:hAnsi="宋体"/>
                <w:sz w:val="22"/>
              </w:rPr>
            </w:pPr>
            <w:r>
              <w:rPr>
                <w:rFonts w:ascii="宋体" w:hAnsi="宋体"/>
                <w:sz w:val="22"/>
              </w:rPr>
              <w:t>4、其他固定资产</w:t>
            </w:r>
          </w:p>
        </w:tc>
        <w:tc>
          <w:tcPr>
            <w:tcW w:w="2580" w:type="dxa"/>
            <w:tcBorders>
              <w:right w:val="single" w:color="auto" w:sz="8" w:space="0"/>
            </w:tcBorders>
            <w:shd w:val="clear" w:color="auto" w:fill="auto"/>
            <w:vAlign w:val="bottom"/>
          </w:tcPr>
          <w:p>
            <w:pPr>
              <w:spacing w:line="0" w:lineRule="atLeast"/>
              <w:rPr>
                <w:rFonts w:ascii="Times New Roman" w:hAnsi="Times New Roman" w:eastAsia="Times New Roman"/>
                <w:sz w:val="24"/>
              </w:rPr>
            </w:pPr>
          </w:p>
        </w:tc>
        <w:tc>
          <w:tcPr>
            <w:tcW w:w="3160" w:type="dxa"/>
            <w:tcBorders>
              <w:right w:val="single" w:color="auto" w:sz="8" w:space="0"/>
            </w:tcBorders>
            <w:shd w:val="clear" w:color="auto" w:fill="auto"/>
            <w:vAlign w:val="bottom"/>
          </w:tcPr>
          <w:p>
            <w:pPr>
              <w:spacing w:line="0" w:lineRule="atLeast"/>
              <w:rPr>
                <w:rFonts w:ascii="Times New Roman" w:hAnsi="Times New Roman" w:eastAsia="Times New Roman"/>
                <w:sz w:val="24"/>
              </w:rPr>
            </w:pPr>
          </w:p>
        </w:tc>
        <w:tc>
          <w:tcPr>
            <w:tcW w:w="5100" w:type="dxa"/>
            <w:tcBorders>
              <w:right w:val="single" w:color="auto" w:sz="8" w:space="0"/>
            </w:tcBorders>
            <w:shd w:val="clear" w:color="auto" w:fill="auto"/>
            <w:vAlign w:val="bottom"/>
          </w:tcPr>
          <w:p>
            <w:pPr>
              <w:spacing w:line="0" w:lineRule="atLeast"/>
              <w:jc w:val="center"/>
              <w:rPr>
                <w:sz w:val="22"/>
              </w:rPr>
            </w:pPr>
            <w:r>
              <w:rPr>
                <w:rFonts w:hint="eastAsia"/>
                <w:sz w:val="22"/>
              </w:rPr>
              <w:t>6768.2</w:t>
            </w:r>
          </w:p>
        </w:tc>
      </w:tr>
      <w:tr>
        <w:tblPrEx>
          <w:tblLayout w:type="fixed"/>
          <w:tblCellMar>
            <w:top w:w="0" w:type="dxa"/>
            <w:left w:w="0" w:type="dxa"/>
            <w:bottom w:w="0" w:type="dxa"/>
            <w:right w:w="0" w:type="dxa"/>
          </w:tblCellMar>
        </w:tblPrEx>
        <w:trPr>
          <w:trHeight w:val="196" w:hRule="atLeast"/>
        </w:trPr>
        <w:tc>
          <w:tcPr>
            <w:tcW w:w="2660" w:type="dxa"/>
            <w:tcBorders>
              <w:left w:val="single" w:color="auto" w:sz="8" w:space="0"/>
            </w:tcBorders>
            <w:shd w:val="clear" w:color="auto" w:fill="auto"/>
            <w:vAlign w:val="bottom"/>
          </w:tcPr>
          <w:p>
            <w:pPr>
              <w:spacing w:line="0" w:lineRule="atLeast"/>
              <w:rPr>
                <w:rFonts w:ascii="Times New Roman" w:hAnsi="Times New Roman" w:eastAsia="Times New Roman"/>
                <w:sz w:val="17"/>
              </w:rPr>
            </w:pPr>
          </w:p>
        </w:tc>
        <w:tc>
          <w:tcPr>
            <w:tcW w:w="2580" w:type="dxa"/>
            <w:tcBorders>
              <w:right w:val="single" w:color="auto" w:sz="8" w:space="0"/>
            </w:tcBorders>
            <w:shd w:val="clear" w:color="auto" w:fill="auto"/>
            <w:vAlign w:val="bottom"/>
          </w:tcPr>
          <w:p>
            <w:pPr>
              <w:spacing w:line="0" w:lineRule="atLeast"/>
              <w:rPr>
                <w:rFonts w:ascii="Times New Roman" w:hAnsi="Times New Roman" w:eastAsia="Times New Roman"/>
                <w:sz w:val="17"/>
              </w:rPr>
            </w:pPr>
          </w:p>
        </w:tc>
        <w:tc>
          <w:tcPr>
            <w:tcW w:w="3160" w:type="dxa"/>
            <w:tcBorders>
              <w:right w:val="single" w:color="auto" w:sz="8" w:space="0"/>
            </w:tcBorders>
            <w:shd w:val="clear" w:color="auto" w:fill="auto"/>
            <w:vAlign w:val="bottom"/>
          </w:tcPr>
          <w:p>
            <w:pPr>
              <w:spacing w:line="0" w:lineRule="atLeast"/>
              <w:rPr>
                <w:rFonts w:ascii="Times New Roman" w:hAnsi="Times New Roman" w:eastAsia="Times New Roman"/>
                <w:sz w:val="17"/>
              </w:rPr>
            </w:pPr>
          </w:p>
        </w:tc>
        <w:tc>
          <w:tcPr>
            <w:tcW w:w="5100" w:type="dxa"/>
            <w:tcBorders>
              <w:right w:val="single" w:color="auto" w:sz="8" w:space="0"/>
            </w:tcBorders>
            <w:shd w:val="clear" w:color="auto" w:fill="auto"/>
            <w:vAlign w:val="bottom"/>
          </w:tcPr>
          <w:p>
            <w:pPr>
              <w:spacing w:line="0" w:lineRule="atLeast"/>
              <w:rPr>
                <w:rFonts w:ascii="Times New Roman" w:hAnsi="Times New Roman" w:eastAsia="Times New Roman"/>
                <w:sz w:val="17"/>
              </w:rPr>
            </w:pPr>
          </w:p>
        </w:tc>
      </w:tr>
      <w:tr>
        <w:tblPrEx>
          <w:tblLayout w:type="fixed"/>
          <w:tblCellMar>
            <w:top w:w="0" w:type="dxa"/>
            <w:left w:w="0" w:type="dxa"/>
            <w:bottom w:w="0" w:type="dxa"/>
            <w:right w:w="0" w:type="dxa"/>
          </w:tblCellMar>
        </w:tblPrEx>
        <w:trPr>
          <w:trHeight w:val="196" w:hRule="atLeast"/>
        </w:trPr>
        <w:tc>
          <w:tcPr>
            <w:tcW w:w="2660" w:type="dxa"/>
            <w:tcBorders>
              <w:left w:val="single" w:color="auto" w:sz="8" w:space="0"/>
              <w:bottom w:val="single" w:color="auto" w:sz="8" w:space="0"/>
            </w:tcBorders>
            <w:shd w:val="clear" w:color="auto" w:fill="auto"/>
            <w:vAlign w:val="bottom"/>
          </w:tcPr>
          <w:p>
            <w:pPr>
              <w:spacing w:line="0" w:lineRule="atLeast"/>
              <w:rPr>
                <w:rFonts w:ascii="Times New Roman" w:hAnsi="Times New Roman" w:eastAsia="Times New Roman"/>
                <w:sz w:val="17"/>
              </w:rPr>
            </w:pPr>
          </w:p>
        </w:tc>
        <w:tc>
          <w:tcPr>
            <w:tcW w:w="258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7"/>
              </w:rPr>
            </w:pPr>
          </w:p>
        </w:tc>
        <w:tc>
          <w:tcPr>
            <w:tcW w:w="316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7"/>
              </w:rPr>
            </w:pPr>
          </w:p>
        </w:tc>
        <w:tc>
          <w:tcPr>
            <w:tcW w:w="5100" w:type="dxa"/>
            <w:tcBorders>
              <w:bottom w:val="single" w:color="auto" w:sz="8" w:space="0"/>
              <w:right w:val="single" w:color="auto" w:sz="8" w:space="0"/>
            </w:tcBorders>
            <w:shd w:val="clear" w:color="auto" w:fill="auto"/>
            <w:vAlign w:val="bottom"/>
          </w:tcPr>
          <w:p>
            <w:pPr>
              <w:spacing w:line="0" w:lineRule="atLeast"/>
              <w:rPr>
                <w:rFonts w:ascii="Times New Roman" w:hAnsi="Times New Roman" w:eastAsia="Times New Roman"/>
                <w:sz w:val="17"/>
              </w:rPr>
            </w:pPr>
          </w:p>
        </w:tc>
      </w:tr>
    </w:tbl>
    <w:p>
      <w:pPr>
        <w:rPr>
          <w:rFonts w:hint="eastAsia" w:ascii="Times New Roman" w:hAnsi="Times New Roman" w:eastAsiaTheme="minorEastAsia"/>
          <w:sz w:val="17"/>
        </w:rPr>
        <w:sectPr>
          <w:pgSz w:w="16840" w:h="11906" w:orient="landscape"/>
          <w:pgMar w:top="1440" w:right="1278" w:bottom="1440" w:left="1420" w:header="0" w:footer="0" w:gutter="0"/>
          <w:cols w:equalWidth="0" w:num="1">
            <w:col w:w="14140"/>
          </w:cols>
          <w:docGrid w:linePitch="360" w:charSpace="0"/>
        </w:sectPr>
      </w:pPr>
    </w:p>
    <w:p>
      <w:pPr>
        <w:spacing w:line="366" w:lineRule="exact"/>
        <w:rPr>
          <w:rFonts w:asciiTheme="majorEastAsia" w:hAnsiTheme="majorEastAsia" w:eastAsiaTheme="majorEastAsia"/>
          <w:sz w:val="32"/>
        </w:rPr>
      </w:pPr>
      <w:bookmarkStart w:id="9" w:name="page40"/>
      <w:bookmarkEnd w:id="9"/>
      <w:r>
        <w:rPr>
          <w:rFonts w:hint="eastAsia" w:asciiTheme="majorEastAsia" w:hAnsiTheme="majorEastAsia" w:eastAsiaTheme="majorEastAsia"/>
          <w:sz w:val="32"/>
          <w:lang w:val="en-US" w:eastAsia="zh-CN"/>
        </w:rPr>
        <w:t>8</w:t>
      </w:r>
      <w:r>
        <w:rPr>
          <w:rFonts w:asciiTheme="majorEastAsia" w:hAnsiTheme="majorEastAsia" w:eastAsiaTheme="majorEastAsia"/>
          <w:sz w:val="32"/>
        </w:rPr>
        <w:t>、名词解释</w:t>
      </w:r>
    </w:p>
    <w:p>
      <w:pPr>
        <w:spacing w:line="255" w:lineRule="exact"/>
        <w:rPr>
          <w:rFonts w:asciiTheme="majorEastAsia" w:hAnsiTheme="majorEastAsia" w:eastAsiaTheme="majorEastAsia"/>
        </w:rPr>
      </w:pPr>
    </w:p>
    <w:p>
      <w:pPr>
        <w:spacing w:line="390" w:lineRule="exact"/>
        <w:ind w:left="640"/>
        <w:rPr>
          <w:rFonts w:asciiTheme="majorEastAsia" w:hAnsiTheme="majorEastAsia" w:eastAsiaTheme="majorEastAsia"/>
          <w:sz w:val="32"/>
        </w:rPr>
      </w:pPr>
      <w:r>
        <w:rPr>
          <w:rFonts w:asciiTheme="majorEastAsia" w:hAnsiTheme="majorEastAsia" w:eastAsiaTheme="majorEastAsia"/>
          <w:b/>
          <w:sz w:val="32"/>
        </w:rPr>
        <w:t>1、一般公共预算拨款收入：</w:t>
      </w:r>
      <w:r>
        <w:rPr>
          <w:rFonts w:asciiTheme="majorEastAsia" w:hAnsiTheme="majorEastAsia" w:eastAsiaTheme="majorEastAsia"/>
          <w:sz w:val="32"/>
        </w:rPr>
        <w:t>指</w:t>
      </w:r>
      <w:r>
        <w:rPr>
          <w:rFonts w:hint="eastAsia" w:asciiTheme="majorEastAsia" w:hAnsiTheme="majorEastAsia" w:eastAsiaTheme="majorEastAsia"/>
          <w:sz w:val="32"/>
        </w:rPr>
        <w:t>市</w:t>
      </w:r>
      <w:r>
        <w:rPr>
          <w:rFonts w:asciiTheme="majorEastAsia" w:hAnsiTheme="majorEastAsia" w:eastAsiaTheme="majorEastAsia"/>
          <w:sz w:val="32"/>
        </w:rPr>
        <w:t>级财政当年拨付的资金。</w:t>
      </w:r>
    </w:p>
    <w:p>
      <w:pPr>
        <w:spacing w:line="235" w:lineRule="exact"/>
        <w:rPr>
          <w:rFonts w:asciiTheme="majorEastAsia" w:hAnsiTheme="majorEastAsia" w:eastAsiaTheme="majorEastAsia"/>
        </w:rPr>
      </w:pPr>
    </w:p>
    <w:p>
      <w:pPr>
        <w:spacing w:line="390" w:lineRule="exact"/>
        <w:ind w:left="640"/>
        <w:rPr>
          <w:rFonts w:asciiTheme="majorEastAsia" w:hAnsiTheme="majorEastAsia" w:eastAsiaTheme="majorEastAsia"/>
          <w:sz w:val="32"/>
        </w:rPr>
      </w:pPr>
      <w:r>
        <w:rPr>
          <w:rFonts w:hint="eastAsia" w:asciiTheme="majorEastAsia" w:hAnsiTheme="majorEastAsia" w:eastAsiaTheme="majorEastAsia"/>
          <w:b/>
          <w:sz w:val="32"/>
        </w:rPr>
        <w:t>2</w:t>
      </w:r>
      <w:r>
        <w:rPr>
          <w:rFonts w:asciiTheme="majorEastAsia" w:hAnsiTheme="majorEastAsia" w:eastAsiaTheme="majorEastAsia"/>
          <w:b/>
          <w:sz w:val="32"/>
        </w:rPr>
        <w:t>、基本支出：</w:t>
      </w:r>
      <w:r>
        <w:rPr>
          <w:rFonts w:asciiTheme="majorEastAsia" w:hAnsiTheme="majorEastAsia" w:eastAsiaTheme="majorEastAsia"/>
          <w:sz w:val="32"/>
        </w:rPr>
        <w:t>指为保障机构正常运转、完成日常工作任务而发生的人员支出和公用支出。</w:t>
      </w:r>
    </w:p>
    <w:p>
      <w:pPr>
        <w:spacing w:line="235" w:lineRule="exact"/>
        <w:rPr>
          <w:rFonts w:asciiTheme="majorEastAsia" w:hAnsiTheme="majorEastAsia" w:eastAsiaTheme="majorEastAsia"/>
        </w:rPr>
      </w:pPr>
    </w:p>
    <w:p>
      <w:pPr>
        <w:spacing w:line="390" w:lineRule="exact"/>
        <w:ind w:left="640"/>
        <w:rPr>
          <w:rFonts w:asciiTheme="majorEastAsia" w:hAnsiTheme="majorEastAsia" w:eastAsiaTheme="majorEastAsia"/>
          <w:sz w:val="32"/>
        </w:rPr>
      </w:pPr>
      <w:r>
        <w:rPr>
          <w:rFonts w:hint="eastAsia" w:asciiTheme="majorEastAsia" w:hAnsiTheme="majorEastAsia" w:eastAsiaTheme="majorEastAsia"/>
          <w:b/>
          <w:sz w:val="32"/>
        </w:rPr>
        <w:t>3</w:t>
      </w:r>
      <w:r>
        <w:rPr>
          <w:rFonts w:asciiTheme="majorEastAsia" w:hAnsiTheme="majorEastAsia" w:eastAsiaTheme="majorEastAsia"/>
          <w:b/>
          <w:sz w:val="32"/>
        </w:rPr>
        <w:t>、项目支出：</w:t>
      </w:r>
      <w:r>
        <w:rPr>
          <w:rFonts w:asciiTheme="majorEastAsia" w:hAnsiTheme="majorEastAsia" w:eastAsiaTheme="majorEastAsia"/>
          <w:sz w:val="32"/>
        </w:rPr>
        <w:t>指在基本支出之外为完成特定行政任务和事业发展目标所发生的支出。</w:t>
      </w:r>
    </w:p>
    <w:p>
      <w:pPr>
        <w:spacing w:line="235" w:lineRule="exact"/>
        <w:rPr>
          <w:rFonts w:asciiTheme="majorEastAsia" w:hAnsiTheme="majorEastAsia" w:eastAsiaTheme="majorEastAsia"/>
        </w:rPr>
      </w:pPr>
    </w:p>
    <w:p>
      <w:pPr>
        <w:spacing w:line="340" w:lineRule="exact"/>
        <w:ind w:left="640"/>
        <w:rPr>
          <w:rFonts w:hint="eastAsia" w:asciiTheme="majorEastAsia" w:hAnsiTheme="majorEastAsia" w:eastAsiaTheme="majorEastAsia"/>
          <w:sz w:val="32"/>
          <w:szCs w:val="32"/>
        </w:rPr>
      </w:pPr>
      <w:r>
        <w:rPr>
          <w:rFonts w:hint="eastAsia" w:asciiTheme="majorEastAsia" w:hAnsiTheme="majorEastAsia" w:eastAsiaTheme="majorEastAsia"/>
          <w:b/>
          <w:sz w:val="32"/>
          <w:szCs w:val="32"/>
        </w:rPr>
        <w:t>4</w:t>
      </w:r>
      <w:r>
        <w:rPr>
          <w:rFonts w:asciiTheme="majorEastAsia" w:hAnsiTheme="majorEastAsia" w:eastAsiaTheme="majorEastAsia"/>
          <w:b/>
          <w:sz w:val="32"/>
          <w:szCs w:val="32"/>
        </w:rPr>
        <w:t>、“三公”经费：</w:t>
      </w:r>
      <w:r>
        <w:rPr>
          <w:rFonts w:asciiTheme="majorEastAsia" w:hAnsiTheme="majorEastAsia" w:eastAsiaTheme="majorEastAsia"/>
          <w:sz w:val="32"/>
          <w:szCs w:val="32"/>
        </w:rPr>
        <w:t>纳入</w:t>
      </w:r>
      <w:r>
        <w:rPr>
          <w:rFonts w:hint="eastAsia" w:asciiTheme="majorEastAsia" w:hAnsiTheme="majorEastAsia" w:eastAsiaTheme="majorEastAsia"/>
          <w:sz w:val="32"/>
          <w:szCs w:val="32"/>
        </w:rPr>
        <w:t>市</w:t>
      </w:r>
      <w:r>
        <w:rPr>
          <w:rFonts w:asciiTheme="majorEastAsia" w:hAnsiTheme="majorEastAsia" w:eastAsiaTheme="majorEastAsia"/>
          <w:sz w:val="32"/>
          <w:szCs w:val="32"/>
        </w:rPr>
        <w:t>级财政预算管理的“三公”经费，是指</w:t>
      </w:r>
      <w:r>
        <w:rPr>
          <w:rFonts w:hint="eastAsia" w:asciiTheme="majorEastAsia" w:hAnsiTheme="majorEastAsia" w:eastAsiaTheme="majorEastAsia"/>
          <w:sz w:val="32"/>
          <w:szCs w:val="32"/>
        </w:rPr>
        <w:t>市</w:t>
      </w:r>
      <w:r>
        <w:rPr>
          <w:rFonts w:asciiTheme="majorEastAsia" w:hAnsiTheme="majorEastAsia" w:eastAsiaTheme="majorEastAsia"/>
          <w:sz w:val="32"/>
          <w:szCs w:val="32"/>
        </w:rPr>
        <w:t>级部门用财政拨款安排的因</w:t>
      </w:r>
    </w:p>
    <w:p>
      <w:pPr>
        <w:spacing w:line="340" w:lineRule="exact"/>
        <w:ind w:left="640"/>
        <w:rPr>
          <w:rFonts w:hint="eastAsia" w:asciiTheme="majorEastAsia" w:hAnsiTheme="majorEastAsia" w:eastAsiaTheme="majorEastAsia"/>
          <w:sz w:val="32"/>
          <w:szCs w:val="32"/>
        </w:rPr>
      </w:pPr>
    </w:p>
    <w:p>
      <w:pPr>
        <w:spacing w:line="340" w:lineRule="exact"/>
        <w:ind w:left="640"/>
        <w:rPr>
          <w:rFonts w:hint="eastAsia" w:asciiTheme="majorEastAsia" w:hAnsiTheme="majorEastAsia" w:eastAsiaTheme="majorEastAsia"/>
          <w:sz w:val="32"/>
          <w:szCs w:val="32"/>
        </w:rPr>
      </w:pPr>
      <w:r>
        <w:rPr>
          <w:rFonts w:asciiTheme="majorEastAsia" w:hAnsiTheme="majorEastAsia" w:eastAsiaTheme="majorEastAsia"/>
          <w:sz w:val="32"/>
          <w:szCs w:val="32"/>
        </w:rPr>
        <w:t>公出国（境）费、公务用车购置及运维费和公务接待费。其中，因公出国（境）费反映单位公务</w:t>
      </w:r>
    </w:p>
    <w:p>
      <w:pPr>
        <w:spacing w:line="340" w:lineRule="exact"/>
        <w:ind w:left="640"/>
        <w:rPr>
          <w:rFonts w:hint="eastAsia" w:asciiTheme="majorEastAsia" w:hAnsiTheme="majorEastAsia" w:eastAsiaTheme="majorEastAsia"/>
          <w:sz w:val="32"/>
          <w:szCs w:val="32"/>
        </w:rPr>
      </w:pPr>
    </w:p>
    <w:p>
      <w:pPr>
        <w:spacing w:line="340" w:lineRule="exact"/>
        <w:ind w:left="640"/>
        <w:rPr>
          <w:rFonts w:hint="eastAsia" w:asciiTheme="majorEastAsia" w:hAnsiTheme="majorEastAsia" w:eastAsiaTheme="majorEastAsia"/>
          <w:sz w:val="32"/>
          <w:szCs w:val="32"/>
        </w:rPr>
      </w:pPr>
      <w:r>
        <w:rPr>
          <w:rFonts w:asciiTheme="majorEastAsia" w:hAnsiTheme="majorEastAsia" w:eastAsiaTheme="majorEastAsia"/>
          <w:sz w:val="32"/>
          <w:szCs w:val="32"/>
        </w:rPr>
        <w:t>出国（境）的住宿费、旅费、伙食补助费、杂费、培训费等支出；公务用车购置及运维费反映单</w:t>
      </w:r>
    </w:p>
    <w:p>
      <w:pPr>
        <w:spacing w:line="340" w:lineRule="exact"/>
        <w:ind w:left="640"/>
        <w:rPr>
          <w:rFonts w:hint="eastAsia" w:asciiTheme="majorEastAsia" w:hAnsiTheme="majorEastAsia" w:eastAsiaTheme="majorEastAsia"/>
          <w:sz w:val="32"/>
          <w:szCs w:val="32"/>
        </w:rPr>
      </w:pPr>
    </w:p>
    <w:p>
      <w:pPr>
        <w:spacing w:line="340" w:lineRule="exact"/>
        <w:ind w:left="640"/>
        <w:rPr>
          <w:rFonts w:hint="eastAsia" w:asciiTheme="majorEastAsia" w:hAnsiTheme="majorEastAsia" w:eastAsiaTheme="majorEastAsia"/>
          <w:sz w:val="32"/>
          <w:szCs w:val="32"/>
        </w:rPr>
      </w:pPr>
      <w:r>
        <w:rPr>
          <w:rFonts w:asciiTheme="majorEastAsia" w:hAnsiTheme="majorEastAsia" w:eastAsiaTheme="majorEastAsia"/>
          <w:sz w:val="32"/>
          <w:szCs w:val="32"/>
        </w:rPr>
        <w:t>位公务用车购置费及租用费、燃料费、维修费、过路过桥费、保险费、安全奖励费用等支出；公</w:t>
      </w:r>
    </w:p>
    <w:p>
      <w:pPr>
        <w:spacing w:line="340" w:lineRule="exact"/>
        <w:ind w:left="640"/>
        <w:rPr>
          <w:rFonts w:hint="eastAsia" w:asciiTheme="majorEastAsia" w:hAnsiTheme="majorEastAsia" w:eastAsiaTheme="majorEastAsia"/>
          <w:sz w:val="32"/>
          <w:szCs w:val="32"/>
        </w:rPr>
      </w:pPr>
    </w:p>
    <w:p>
      <w:pPr>
        <w:spacing w:line="340" w:lineRule="exact"/>
        <w:ind w:left="640"/>
        <w:rPr>
          <w:rFonts w:hint="eastAsia" w:asciiTheme="majorEastAsia" w:hAnsiTheme="majorEastAsia" w:eastAsiaTheme="majorEastAsia"/>
          <w:sz w:val="32"/>
          <w:szCs w:val="32"/>
        </w:rPr>
      </w:pPr>
      <w:r>
        <w:rPr>
          <w:rFonts w:asciiTheme="majorEastAsia" w:hAnsiTheme="majorEastAsia" w:eastAsiaTheme="majorEastAsia"/>
          <w:sz w:val="32"/>
          <w:szCs w:val="32"/>
        </w:rPr>
        <w:t>务接待费反映单位按规定开支的各类公务接待支出。</w:t>
      </w:r>
    </w:p>
    <w:p>
      <w:pPr>
        <w:spacing w:line="340" w:lineRule="exact"/>
        <w:rPr>
          <w:rFonts w:asciiTheme="majorEastAsia" w:hAnsiTheme="majorEastAsia" w:eastAsiaTheme="majorEastAsia"/>
          <w:sz w:val="32"/>
          <w:szCs w:val="32"/>
        </w:rPr>
      </w:pPr>
    </w:p>
    <w:p>
      <w:pPr>
        <w:spacing w:line="340" w:lineRule="exact"/>
        <w:ind w:left="640"/>
        <w:rPr>
          <w:rFonts w:hint="eastAsia" w:asciiTheme="majorEastAsia" w:hAnsiTheme="majorEastAsia" w:eastAsiaTheme="majorEastAsia"/>
          <w:sz w:val="32"/>
          <w:szCs w:val="32"/>
        </w:rPr>
      </w:pPr>
      <w:r>
        <w:rPr>
          <w:rFonts w:hint="eastAsia" w:asciiTheme="majorEastAsia" w:hAnsiTheme="majorEastAsia" w:eastAsiaTheme="majorEastAsia"/>
          <w:b/>
          <w:sz w:val="32"/>
          <w:szCs w:val="32"/>
        </w:rPr>
        <w:t>5</w:t>
      </w:r>
      <w:r>
        <w:rPr>
          <w:rFonts w:asciiTheme="majorEastAsia" w:hAnsiTheme="majorEastAsia" w:eastAsiaTheme="majorEastAsia"/>
          <w:b/>
          <w:sz w:val="32"/>
          <w:szCs w:val="32"/>
        </w:rPr>
        <w:t>、机关运行费：</w:t>
      </w:r>
      <w:r>
        <w:rPr>
          <w:rFonts w:asciiTheme="majorEastAsia" w:hAnsiTheme="majorEastAsia" w:eastAsiaTheme="majorEastAsia"/>
          <w:sz w:val="32"/>
          <w:szCs w:val="32"/>
        </w:rPr>
        <w:t>为保障事业单位运行用于购买货物和服务的各项资金，包括办公及印刷费、邮</w:t>
      </w:r>
    </w:p>
    <w:p>
      <w:pPr>
        <w:spacing w:line="340" w:lineRule="exact"/>
        <w:ind w:left="640"/>
        <w:rPr>
          <w:rFonts w:hint="eastAsia" w:asciiTheme="majorEastAsia" w:hAnsiTheme="majorEastAsia" w:eastAsiaTheme="majorEastAsia"/>
          <w:sz w:val="32"/>
          <w:szCs w:val="32"/>
        </w:rPr>
      </w:pPr>
    </w:p>
    <w:p>
      <w:pPr>
        <w:spacing w:line="340" w:lineRule="exact"/>
        <w:ind w:left="640"/>
        <w:rPr>
          <w:rFonts w:hint="eastAsia" w:asciiTheme="majorEastAsia" w:hAnsiTheme="majorEastAsia" w:eastAsiaTheme="majorEastAsia"/>
          <w:sz w:val="32"/>
          <w:szCs w:val="32"/>
        </w:rPr>
      </w:pPr>
      <w:r>
        <w:rPr>
          <w:rFonts w:asciiTheme="majorEastAsia" w:hAnsiTheme="majorEastAsia" w:eastAsiaTheme="majorEastAsia"/>
          <w:sz w:val="32"/>
          <w:szCs w:val="32"/>
        </w:rPr>
        <w:t>电费、差旅费、会议费、福利费、日常维修费、专用材料及一般设备购置费、办公用房水电费、</w:t>
      </w:r>
    </w:p>
    <w:p>
      <w:pPr>
        <w:spacing w:line="340" w:lineRule="exact"/>
        <w:ind w:left="640"/>
        <w:rPr>
          <w:rFonts w:hint="eastAsia" w:asciiTheme="majorEastAsia" w:hAnsiTheme="majorEastAsia" w:eastAsiaTheme="majorEastAsia"/>
          <w:sz w:val="32"/>
          <w:szCs w:val="32"/>
        </w:rPr>
      </w:pPr>
    </w:p>
    <w:p>
      <w:pPr>
        <w:spacing w:line="340" w:lineRule="exact"/>
        <w:ind w:left="640"/>
        <w:rPr>
          <w:rFonts w:asciiTheme="majorEastAsia" w:hAnsiTheme="majorEastAsia" w:eastAsiaTheme="majorEastAsia"/>
          <w:sz w:val="32"/>
          <w:szCs w:val="32"/>
        </w:rPr>
      </w:pPr>
      <w:r>
        <w:rPr>
          <w:rFonts w:asciiTheme="majorEastAsia" w:hAnsiTheme="majorEastAsia" w:eastAsiaTheme="majorEastAsia"/>
          <w:sz w:val="32"/>
          <w:szCs w:val="32"/>
        </w:rPr>
        <w:t>办公用房取暖费、办公用房物业管理费、公务用车运行维护费以及其他费用。</w:t>
      </w:r>
    </w:p>
    <w:p>
      <w:pPr>
        <w:spacing w:line="340" w:lineRule="exact"/>
        <w:rPr>
          <w:rFonts w:asciiTheme="majorEastAsia" w:hAnsiTheme="majorEastAsia" w:eastAsiaTheme="majorEastAsia"/>
          <w:sz w:val="32"/>
          <w:szCs w:val="32"/>
        </w:rPr>
      </w:pPr>
    </w:p>
    <w:p>
      <w:pPr>
        <w:spacing w:line="340" w:lineRule="exact"/>
        <w:rPr>
          <w:rFonts w:asciiTheme="majorEastAsia" w:hAnsiTheme="majorEastAsia" w:eastAsiaTheme="majorEastAsia"/>
        </w:rPr>
      </w:pPr>
    </w:p>
    <w:p>
      <w:pPr>
        <w:spacing w:line="366" w:lineRule="exact"/>
        <w:ind w:firstLine="480" w:firstLineChars="150"/>
        <w:rPr>
          <w:rFonts w:asciiTheme="majorEastAsia" w:hAnsiTheme="majorEastAsia" w:eastAsiaTheme="majorEastAsia"/>
          <w:sz w:val="32"/>
        </w:rPr>
      </w:pPr>
      <w:r>
        <w:rPr>
          <w:rFonts w:hint="eastAsia" w:asciiTheme="majorEastAsia" w:hAnsiTheme="majorEastAsia" w:eastAsiaTheme="majorEastAsia"/>
          <w:sz w:val="32"/>
          <w:lang w:val="en-US" w:eastAsia="zh-CN"/>
        </w:rPr>
        <w:t>9</w:t>
      </w:r>
      <w:r>
        <w:rPr>
          <w:rFonts w:asciiTheme="majorEastAsia" w:hAnsiTheme="majorEastAsia" w:eastAsiaTheme="majorEastAsia"/>
          <w:sz w:val="32"/>
        </w:rPr>
        <w:t>、其他需要说明的事项</w:t>
      </w:r>
    </w:p>
    <w:p>
      <w:pPr>
        <w:spacing w:line="259" w:lineRule="exact"/>
        <w:rPr>
          <w:rFonts w:asciiTheme="majorEastAsia" w:hAnsiTheme="majorEastAsia" w:eastAsiaTheme="majorEastAsia"/>
        </w:rPr>
      </w:pPr>
    </w:p>
    <w:p>
      <w:pPr>
        <w:spacing w:line="366" w:lineRule="exact"/>
        <w:ind w:left="640"/>
        <w:rPr>
          <w:rFonts w:asciiTheme="majorEastAsia" w:hAnsiTheme="majorEastAsia" w:eastAsiaTheme="majorEastAsia"/>
          <w:sz w:val="32"/>
        </w:rPr>
      </w:pPr>
      <w:r>
        <w:rPr>
          <w:rFonts w:asciiTheme="majorEastAsia" w:hAnsiTheme="majorEastAsia" w:eastAsiaTheme="majorEastAsia"/>
          <w:sz w:val="32"/>
        </w:rPr>
        <w:t>我部门无其他需要说明的事项。</w:t>
      </w:r>
    </w:p>
    <w:p>
      <w:pPr>
        <w:rPr>
          <w:rFonts w:asciiTheme="majorEastAsia" w:hAnsiTheme="majorEastAsia" w:eastAsiaTheme="majorEastAsia"/>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书宋_GBK">
    <w:altName w:val="宋体"/>
    <w:panose1 w:val="00000000000000000000"/>
    <w:charset w:val="86"/>
    <w:family w:val="auto"/>
    <w:pitch w:val="default"/>
    <w:sig w:usb0="00000000" w:usb1="00000000" w:usb2="00000010" w:usb3="00000000" w:csb0="00040000" w:csb1="00000000"/>
  </w:font>
  <w:font w:name="方正仿宋_GBK">
    <w:altName w:val="Arial Unicode MS"/>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9A8F38"/>
    <w:multiLevelType w:val="singleLevel"/>
    <w:tmpl w:val="589A8F38"/>
    <w:lvl w:ilvl="0" w:tentative="0">
      <w:start w:val="1"/>
      <w:numFmt w:val="decimal"/>
      <w:suff w:val="nothing"/>
      <w:lvlText w:val="%1、"/>
      <w:lvlJc w:val="left"/>
    </w:lvl>
  </w:abstractNum>
  <w:abstractNum w:abstractNumId="1">
    <w:nsid w:val="589A9132"/>
    <w:multiLevelType w:val="singleLevel"/>
    <w:tmpl w:val="589A9132"/>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613EBC"/>
    <w:rsid w:val="00040A62"/>
    <w:rsid w:val="000C1014"/>
    <w:rsid w:val="00150E25"/>
    <w:rsid w:val="00197F52"/>
    <w:rsid w:val="002D5163"/>
    <w:rsid w:val="005F4B59"/>
    <w:rsid w:val="00613EBC"/>
    <w:rsid w:val="00626A48"/>
    <w:rsid w:val="00662C84"/>
    <w:rsid w:val="00837E63"/>
    <w:rsid w:val="00842543"/>
    <w:rsid w:val="0088739A"/>
    <w:rsid w:val="008A2A6F"/>
    <w:rsid w:val="009675B0"/>
    <w:rsid w:val="00A063A0"/>
    <w:rsid w:val="00AD62AF"/>
    <w:rsid w:val="00BB37C8"/>
    <w:rsid w:val="00C14ACA"/>
    <w:rsid w:val="00D2459C"/>
    <w:rsid w:val="00DB4C84"/>
    <w:rsid w:val="00DC712D"/>
    <w:rsid w:val="00EC20B8"/>
    <w:rsid w:val="00F402C9"/>
    <w:rsid w:val="00F6309F"/>
    <w:rsid w:val="00FF557C"/>
    <w:rsid w:val="0111769C"/>
    <w:rsid w:val="03585277"/>
    <w:rsid w:val="043F52BE"/>
    <w:rsid w:val="04CE2037"/>
    <w:rsid w:val="05DA5CF1"/>
    <w:rsid w:val="082055CE"/>
    <w:rsid w:val="0F9A7AD0"/>
    <w:rsid w:val="10E17B91"/>
    <w:rsid w:val="128745E7"/>
    <w:rsid w:val="14770241"/>
    <w:rsid w:val="15EC4C77"/>
    <w:rsid w:val="16CA084A"/>
    <w:rsid w:val="18661939"/>
    <w:rsid w:val="21664FAE"/>
    <w:rsid w:val="23EB0729"/>
    <w:rsid w:val="24BE254D"/>
    <w:rsid w:val="24D55CD5"/>
    <w:rsid w:val="26E0170E"/>
    <w:rsid w:val="2DD03EC2"/>
    <w:rsid w:val="2E907E08"/>
    <w:rsid w:val="35EF3108"/>
    <w:rsid w:val="36344C4B"/>
    <w:rsid w:val="3840335E"/>
    <w:rsid w:val="3AF8752E"/>
    <w:rsid w:val="3C0C4D85"/>
    <w:rsid w:val="3DD06F36"/>
    <w:rsid w:val="40286DA0"/>
    <w:rsid w:val="424010BA"/>
    <w:rsid w:val="449F4106"/>
    <w:rsid w:val="47444928"/>
    <w:rsid w:val="4BD46863"/>
    <w:rsid w:val="53223A8F"/>
    <w:rsid w:val="539F52E2"/>
    <w:rsid w:val="55A56DBA"/>
    <w:rsid w:val="560F2B0E"/>
    <w:rsid w:val="562652CD"/>
    <w:rsid w:val="5A186D97"/>
    <w:rsid w:val="5BC80E69"/>
    <w:rsid w:val="5F254615"/>
    <w:rsid w:val="611170E1"/>
    <w:rsid w:val="61C141FA"/>
    <w:rsid w:val="61D84F94"/>
    <w:rsid w:val="64167A36"/>
    <w:rsid w:val="65442369"/>
    <w:rsid w:val="65465701"/>
    <w:rsid w:val="662738CD"/>
    <w:rsid w:val="6FBA2206"/>
    <w:rsid w:val="748A5BE4"/>
    <w:rsid w:val="78D051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Calibri" w:hAnsi="Calibri" w:eastAsia="宋体" w:cs="Arial"/>
      <w:kern w:val="0"/>
      <w:sz w:val="20"/>
      <w:szCs w:val="20"/>
      <w:lang w:val="en-US" w:eastAsia="zh-CN"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4"/>
    <w:link w:val="3"/>
    <w:semiHidden/>
    <w:qFormat/>
    <w:uiPriority w:val="99"/>
    <w:rPr>
      <w:rFonts w:ascii="Calibri" w:hAnsi="Calibri" w:eastAsia="宋体" w:cs="Arial"/>
      <w:kern w:val="0"/>
      <w:sz w:val="18"/>
      <w:szCs w:val="18"/>
    </w:rPr>
  </w:style>
  <w:style w:type="character" w:customStyle="1" w:styleId="7">
    <w:name w:val="页脚 Char"/>
    <w:basedOn w:val="4"/>
    <w:link w:val="2"/>
    <w:semiHidden/>
    <w:qFormat/>
    <w:uiPriority w:val="99"/>
    <w:rPr>
      <w:rFonts w:ascii="Calibri" w:hAnsi="Calibri" w:eastAsia="宋体" w:cs="Arial"/>
      <w:kern w:val="0"/>
      <w:sz w:val="18"/>
      <w:szCs w:val="18"/>
    </w:rPr>
  </w:style>
  <w:style w:type="character" w:customStyle="1" w:styleId="8">
    <w:name w:val="font21"/>
    <w:basedOn w:val="4"/>
    <w:qFormat/>
    <w:uiPriority w:val="0"/>
    <w:rPr>
      <w:rFonts w:ascii="方正书宋_GBK" w:hAnsi="方正书宋_GBK" w:eastAsia="方正书宋_GBK" w:cs="方正书宋_GBK"/>
      <w:b/>
      <w:color w:val="000000"/>
      <w:sz w:val="24"/>
      <w:szCs w:val="24"/>
      <w:u w:val="none"/>
    </w:rPr>
  </w:style>
  <w:style w:type="character" w:customStyle="1" w:styleId="9">
    <w:name w:val="font51"/>
    <w:basedOn w:val="4"/>
    <w:qFormat/>
    <w:uiPriority w:val="0"/>
    <w:rPr>
      <w:rFonts w:hint="default" w:ascii="Times New Roman" w:hAnsi="Times New Roman" w:cs="Times New Roman"/>
      <w:b/>
      <w:color w:val="000000"/>
      <w:sz w:val="24"/>
      <w:szCs w:val="24"/>
      <w:u w:val="none"/>
    </w:rPr>
  </w:style>
  <w:style w:type="character" w:customStyle="1" w:styleId="10">
    <w:name w:val="font11"/>
    <w:basedOn w:val="4"/>
    <w:qFormat/>
    <w:uiPriority w:val="0"/>
    <w:rPr>
      <w:rFonts w:ascii="方正仿宋_GBK" w:hAnsi="方正仿宋_GBK" w:eastAsia="方正仿宋_GBK" w:cs="方正仿宋_GBK"/>
      <w:color w:val="000000"/>
      <w:sz w:val="24"/>
      <w:szCs w:val="24"/>
      <w:u w:val="none"/>
    </w:rPr>
  </w:style>
  <w:style w:type="character" w:customStyle="1" w:styleId="11">
    <w:name w:val="font31"/>
    <w:basedOn w:val="4"/>
    <w:qFormat/>
    <w:uiPriority w:val="0"/>
    <w:rPr>
      <w:rFonts w:hint="default" w:ascii="方正仿宋_GBK" w:hAnsi="方正仿宋_GBK" w:eastAsia="方正仿宋_GBK" w:cs="方正仿宋_GBK"/>
      <w:b/>
      <w:color w:val="000000"/>
      <w:sz w:val="24"/>
      <w:szCs w:val="24"/>
      <w:u w:val="none"/>
    </w:rPr>
  </w:style>
  <w:style w:type="character" w:customStyle="1" w:styleId="12">
    <w:name w:val="font41"/>
    <w:basedOn w:val="4"/>
    <w:qFormat/>
    <w:uiPriority w:val="0"/>
    <w:rPr>
      <w:rFonts w:hint="default" w:ascii="方正书宋_GBK" w:hAnsi="方正书宋_GBK" w:eastAsia="方正书宋_GBK" w:cs="方正书宋_GBK"/>
      <w:b/>
      <w:color w:val="000000"/>
      <w:sz w:val="24"/>
      <w:szCs w:val="24"/>
      <w:u w:val="none"/>
    </w:rPr>
  </w:style>
  <w:style w:type="character" w:customStyle="1" w:styleId="13">
    <w:name w:val="font71"/>
    <w:basedOn w:val="4"/>
    <w:qFormat/>
    <w:uiPriority w:val="0"/>
    <w:rPr>
      <w:rFonts w:hint="default" w:ascii="方正仿宋_GBK" w:hAnsi="方正仿宋_GBK" w:eastAsia="方正仿宋_GBK" w:cs="方正仿宋_GBK"/>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Info spid="_x0000_s1028"/>
    <customShpInfo spid="_x0000_s102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11</Pages>
  <Words>917</Words>
  <Characters>5227</Characters>
  <Lines>43</Lines>
  <Paragraphs>12</Paragraphs>
  <TotalTime>28</TotalTime>
  <ScaleCrop>false</ScaleCrop>
  <LinksUpToDate>false</LinksUpToDate>
  <CharactersWithSpaces>6132</CharactersWithSpaces>
  <Application>WPS Office_11.1.0.8013_F1E327BC-269C-435d-A152-05C5408002CA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2018-02-27T01:24:00Z</dcterms:created>
  <dc:creator>lenovo</dc:creator>
  <cp:lastModifiedBy>刘志兰</cp:lastModifiedBy>
  <cp:lastPrinted>2018-02-28T01:21:00Z</cp:lastPrinted>
  <dcterms:modified xsi:type="dcterms:W3CDTF">2019-03-14T07:11:39Z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2052-11.1.0.8013</vt:lpwstr>
  </property>
</Properties>
</file>