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华文宋体" w:hAnsi="华文宋体" w:eastAsia="华文宋体" w:cs="华文宋体"/>
          <w:b/>
          <w:bCs/>
          <w:sz w:val="44"/>
          <w:szCs w:val="44"/>
        </w:rPr>
      </w:pPr>
      <w:r>
        <w:rPr>
          <w:rFonts w:hint="eastAsia" w:ascii="华文宋体" w:hAnsi="华文宋体" w:eastAsia="华文宋体" w:cs="华文宋体"/>
          <w:b/>
          <w:bCs/>
          <w:sz w:val="44"/>
          <w:szCs w:val="44"/>
        </w:rPr>
        <w:t>石家庄市金融工作办公室</w:t>
      </w:r>
    </w:p>
    <w:p>
      <w:pPr>
        <w:jc w:val="center"/>
        <w:rPr>
          <w:rFonts w:hint="eastAsia" w:ascii="华文宋体" w:hAnsi="华文宋体" w:eastAsia="华文宋体" w:cs="华文宋体"/>
          <w:b/>
          <w:bCs/>
          <w:sz w:val="44"/>
          <w:szCs w:val="44"/>
        </w:rPr>
      </w:pPr>
      <w:r>
        <w:rPr>
          <w:rFonts w:hint="eastAsia" w:ascii="华文宋体" w:hAnsi="华文宋体" w:eastAsia="华文宋体" w:cs="华文宋体"/>
          <w:b/>
          <w:bCs/>
          <w:sz w:val="44"/>
          <w:szCs w:val="44"/>
          <w:lang w:val="en-US" w:eastAsia="zh-CN"/>
        </w:rPr>
        <w:t>2018年部门</w:t>
      </w:r>
      <w:r>
        <w:rPr>
          <w:rFonts w:hint="eastAsia" w:ascii="华文宋体" w:hAnsi="华文宋体" w:eastAsia="华文宋体" w:cs="华文宋体"/>
          <w:b/>
          <w:bCs/>
          <w:sz w:val="44"/>
          <w:szCs w:val="44"/>
        </w:rPr>
        <w:t>预算</w:t>
      </w:r>
      <w:r>
        <w:rPr>
          <w:rFonts w:hint="eastAsia" w:ascii="华文宋体" w:hAnsi="华文宋体" w:eastAsia="华文宋体" w:cs="华文宋体"/>
          <w:b/>
          <w:bCs/>
          <w:sz w:val="44"/>
          <w:szCs w:val="44"/>
          <w:lang w:eastAsia="zh-CN"/>
        </w:rPr>
        <w:t>信息</w:t>
      </w:r>
      <w:r>
        <w:rPr>
          <w:rFonts w:hint="eastAsia" w:ascii="华文宋体" w:hAnsi="华文宋体" w:eastAsia="华文宋体" w:cs="华文宋体"/>
          <w:b/>
          <w:bCs/>
          <w:sz w:val="44"/>
          <w:szCs w:val="44"/>
        </w:rPr>
        <w:t>公开</w:t>
      </w:r>
    </w:p>
    <w:p>
      <w:pPr>
        <w:ind w:firstLine="560" w:firstLineChars="200"/>
        <w:rPr>
          <w:rFonts w:hint="eastAsia" w:ascii="仿宋_GB2312" w:hAnsi="仿宋_GB2312" w:eastAsia="仿宋_GB2312" w:cs="仿宋_GB2312"/>
          <w:sz w:val="28"/>
          <w:lang w:eastAsia="zh-CN"/>
        </w:rPr>
      </w:pPr>
    </w:p>
    <w:p>
      <w:pPr>
        <w:ind w:firstLine="560" w:firstLineChars="200"/>
        <w:rPr>
          <w:rFonts w:hint="eastAsia" w:ascii="仿宋_GB2312" w:hAnsi="仿宋_GB2312" w:eastAsia="仿宋_GB2312" w:cs="仿宋_GB2312"/>
          <w:sz w:val="28"/>
          <w:lang w:eastAsia="zh-CN"/>
        </w:rPr>
      </w:pPr>
    </w:p>
    <w:p>
      <w:pPr>
        <w:ind w:firstLine="560" w:firstLineChars="20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eastAsia="zh-CN"/>
        </w:rPr>
        <w:t>按照《预算法》、《地方预决算公开操作规程》和《石家庄市市级预算公开办法》规定，现将石家庄市金融工作办公室</w:t>
      </w:r>
      <w:r>
        <w:rPr>
          <w:rFonts w:hint="eastAsia" w:ascii="仿宋_GB2312" w:hAnsi="仿宋_GB2312" w:eastAsia="仿宋_GB2312" w:cs="仿宋_GB2312"/>
          <w:sz w:val="28"/>
          <w:lang w:val="en-US" w:eastAsia="zh-CN"/>
        </w:rPr>
        <w:t>2018年度部门预算公开如下：</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一、</w:t>
      </w:r>
      <w:r>
        <w:rPr>
          <w:rFonts w:hint="eastAsia" w:ascii="黑体" w:hAnsi="黑体" w:eastAsia="黑体" w:cs="黑体"/>
          <w:sz w:val="32"/>
          <w:szCs w:val="32"/>
        </w:rPr>
        <w:t>部门职责</w:t>
      </w:r>
      <w:r>
        <w:rPr>
          <w:rFonts w:hint="eastAsia" w:ascii="黑体" w:hAnsi="黑体" w:eastAsia="黑体" w:cs="黑体"/>
          <w:sz w:val="32"/>
          <w:szCs w:val="32"/>
          <w:lang w:eastAsia="zh-CN"/>
        </w:rPr>
        <w:t>及机构设置情况</w:t>
      </w:r>
    </w:p>
    <w:p>
      <w:pPr>
        <w:numPr>
          <w:ilvl w:val="0"/>
          <w:numId w:val="0"/>
        </w:numPr>
        <w:ind w:firstLine="640"/>
        <w:jc w:val="left"/>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部门职责：</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（一）贯彻执行国家金融工作方针政策和法律法规；研究拟定全市金融产业发展规划和年度计划，并组织实施；提出促进和加强金融产业发展的政策建议，协调金融业与全市经济社会发展的衔接。</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二）负责与驻石金融机构的联系，协调解决金融运行中涉及地方政府配合的相关事宜；配合金融监管机构依法加强金融监管，整顿和规范金融市场秩序；负责协调非法集资、非法证券、非法保险等案件的查处、善后处置和维护金融稳定；指导全市金融生态环境和社会信用体系建设。</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三）协调推进省会金融中心城市建设；统筹协调全市金融功能区规划、建设和发展，推进金融服务产业园区建设；负责对外金融交流合作，协调引进金融机构。协调建立金融资源与本地经济社会发展需求的对接机制，推动金融服务地方经济社会发展，协调金融服务社会民生和金融人才队伍建设。</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（四）加强地方金融机构建设；指导新型农村金融机构组建和发展；负责全市农村信用社改革的组织、协调；负责市属金融机构的业务指导、考核；协助有关部门搞好地方金融机构党组织建设和思想政治工作。</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五）负责全市企业上市工作；落实市政府关于支持企业上市工作的政策意见，推进企业上市融资；配合有关部门指导上市公司建立和完善现代企业制度，处置上市公司风险，协调有关部门依法对上市公司实施破产、重组、托管；牵头组织相关企业发行债券，指导协调期货、基金、产权交易等新兴金融行业和金融中介服务业有序发展。</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（六）负责全市小额贷款公司的监督管理，指导县（市）、区有关部门依法开展相关工作。</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（七）负责综合协调市级投融资体系建设，提出政策建议并督促落实；指导国有资源、资产、资金、资本的整合运作，组织投融资机构与相关产业和重点项目的对接。</w:t>
      </w:r>
    </w:p>
    <w:p>
      <w:pPr>
        <w:ind w:firstLine="560" w:firstLineChars="20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（八）承办市政府交办的其他事项。</w:t>
      </w:r>
    </w:p>
    <w:p>
      <w:pPr>
        <w:ind w:firstLine="562" w:firstLineChars="200"/>
        <w:rPr>
          <w:rFonts w:hint="eastAsia" w:ascii="楷体_GB2312" w:hAnsi="楷体_GB2312" w:eastAsia="楷体_GB2312" w:cs="楷体_GB2312"/>
          <w:b/>
          <w:bCs/>
          <w:sz w:val="28"/>
          <w:lang w:eastAsia="zh-CN"/>
        </w:rPr>
      </w:pPr>
      <w:r>
        <w:rPr>
          <w:rFonts w:hint="eastAsia" w:ascii="楷体_GB2312" w:hAnsi="楷体_GB2312" w:eastAsia="楷体_GB2312" w:cs="楷体_GB2312"/>
          <w:b/>
          <w:bCs/>
          <w:sz w:val="28"/>
          <w:lang w:eastAsia="zh-CN"/>
        </w:rPr>
        <w:t>机构设置：</w:t>
      </w:r>
    </w:p>
    <w:tbl>
      <w:tblPr>
        <w:tblStyle w:val="3"/>
        <w:tblpPr w:leftFromText="180" w:rightFromText="180" w:vertAnchor="text" w:horzAnchor="page" w:tblpX="1159" w:tblpY="623"/>
        <w:tblOverlap w:val="never"/>
        <w:tblW w:w="98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50"/>
        <w:gridCol w:w="1100"/>
        <w:gridCol w:w="1848"/>
        <w:gridCol w:w="387"/>
        <w:gridCol w:w="2996"/>
        <w:gridCol w:w="8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gridAfter w:val="1"/>
          <w:wAfter w:w="819" w:type="dxa"/>
          <w:trHeight w:val="352" w:hRule="atLeast"/>
          <w:tblHeader/>
        </w:trPr>
        <w:tc>
          <w:tcPr>
            <w:tcW w:w="5985" w:type="dxa"/>
            <w:gridSpan w:val="4"/>
            <w:tcBorders>
              <w:top w:val="single" w:color="FFFFFF" w:sz="6" w:space="0"/>
              <w:left w:val="single" w:color="FFFFFF" w:sz="6" w:space="0"/>
              <w:right w:val="single" w:color="FFFFFF" w:sz="6" w:space="0"/>
            </w:tcBorders>
            <w:vAlign w:val="center"/>
          </w:tcPr>
          <w:p>
            <w:pPr>
              <w:spacing w:line="300" w:lineRule="exact"/>
              <w:jc w:val="both"/>
              <w:rPr>
                <w:rFonts w:hint="eastAsia" w:ascii="黑体" w:hAnsi="黑体" w:eastAsia="黑体" w:cs="黑体"/>
                <w:sz w:val="24"/>
                <w:lang w:eastAsia="zh-CN"/>
              </w:rPr>
            </w:pPr>
            <w:r>
              <w:rPr>
                <w:rFonts w:hint="eastAsia" w:ascii="黑体" w:hAnsi="黑体" w:eastAsia="黑体" w:cs="黑体"/>
                <w:sz w:val="24"/>
                <w:lang w:val="en-US" w:eastAsia="zh-CN"/>
              </w:rPr>
              <w:t xml:space="preserve">                              </w:t>
            </w:r>
            <w:r>
              <w:rPr>
                <w:rFonts w:hint="eastAsia" w:ascii="黑体" w:hAnsi="黑体" w:eastAsia="黑体" w:cs="黑体"/>
                <w:sz w:val="24"/>
                <w:lang w:eastAsia="zh-CN"/>
              </w:rPr>
              <w:t>部门机构设置情况</w:t>
            </w:r>
          </w:p>
        </w:tc>
        <w:tc>
          <w:tcPr>
            <w:tcW w:w="2996" w:type="dxa"/>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4" w:hRule="atLeast"/>
          <w:tblHeader/>
        </w:trPr>
        <w:tc>
          <w:tcPr>
            <w:tcW w:w="265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0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848"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4202" w:type="dxa"/>
            <w:gridSpan w:val="3"/>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4" w:hRule="atLeast"/>
          <w:tblHeader/>
        </w:trPr>
        <w:tc>
          <w:tcPr>
            <w:tcW w:w="2650" w:type="dxa"/>
            <w:vMerge w:val="continue"/>
            <w:vAlign w:val="center"/>
          </w:tcPr>
          <w:p>
            <w:pPr>
              <w:spacing w:line="300" w:lineRule="exact"/>
              <w:jc w:val="left"/>
              <w:outlineLvl w:val="0"/>
            </w:pPr>
          </w:p>
        </w:tc>
        <w:tc>
          <w:tcPr>
            <w:tcW w:w="1100" w:type="dxa"/>
            <w:vMerge w:val="continue"/>
            <w:vAlign w:val="center"/>
          </w:tcPr>
          <w:p>
            <w:pPr>
              <w:spacing w:line="300" w:lineRule="exact"/>
              <w:jc w:val="left"/>
              <w:outlineLvl w:val="0"/>
            </w:pPr>
          </w:p>
        </w:tc>
        <w:tc>
          <w:tcPr>
            <w:tcW w:w="1848" w:type="dxa"/>
            <w:vMerge w:val="continue"/>
            <w:vAlign w:val="center"/>
          </w:tcPr>
          <w:p>
            <w:pPr>
              <w:spacing w:line="300" w:lineRule="exact"/>
              <w:jc w:val="left"/>
              <w:outlineLvl w:val="0"/>
            </w:pPr>
          </w:p>
        </w:tc>
        <w:tc>
          <w:tcPr>
            <w:tcW w:w="4202" w:type="dxa"/>
            <w:gridSpan w:val="3"/>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8" w:hRule="atLeast"/>
        </w:trPr>
        <w:tc>
          <w:tcPr>
            <w:tcW w:w="2650" w:type="dxa"/>
            <w:vAlign w:val="center"/>
          </w:tcPr>
          <w:p>
            <w:pPr>
              <w:spacing w:line="300" w:lineRule="exact"/>
              <w:jc w:val="center"/>
              <w:rPr>
                <w:rFonts w:hint="eastAsia" w:ascii="方正书宋_GBK" w:eastAsia="方正书宋_GBK"/>
                <w:b/>
              </w:rPr>
            </w:pPr>
            <w:r>
              <w:rPr>
                <w:rFonts w:hint="eastAsia" w:ascii="方正书宋_GBK" w:eastAsia="方正书宋_GBK"/>
                <w:b/>
              </w:rPr>
              <w:t>石家庄市金融工作办公室</w:t>
            </w:r>
          </w:p>
        </w:tc>
        <w:tc>
          <w:tcPr>
            <w:tcW w:w="1100" w:type="dxa"/>
            <w:vAlign w:val="center"/>
          </w:tcPr>
          <w:p>
            <w:pPr>
              <w:spacing w:line="300" w:lineRule="exact"/>
              <w:jc w:val="center"/>
              <w:rPr>
                <w:rFonts w:hint="eastAsia" w:ascii="方正书宋_GBK" w:eastAsia="方正书宋_GBK"/>
                <w:b/>
              </w:rPr>
            </w:pPr>
            <w:r>
              <w:rPr>
                <w:rFonts w:hint="eastAsia" w:ascii="方正书宋_GBK" w:eastAsia="方正书宋_GBK"/>
                <w:b/>
              </w:rPr>
              <w:t>行政机关</w:t>
            </w:r>
          </w:p>
        </w:tc>
        <w:tc>
          <w:tcPr>
            <w:tcW w:w="1848" w:type="dxa"/>
            <w:vAlign w:val="center"/>
          </w:tcPr>
          <w:p>
            <w:pPr>
              <w:spacing w:line="300" w:lineRule="exact"/>
              <w:jc w:val="center"/>
              <w:rPr>
                <w:rFonts w:hint="eastAsia" w:ascii="方正书宋_GBK" w:eastAsia="方正书宋_GBK"/>
                <w:b/>
              </w:rPr>
            </w:pPr>
            <w:r>
              <w:rPr>
                <w:rFonts w:hint="eastAsia" w:ascii="方正书宋_GBK" w:eastAsia="方正书宋_GBK"/>
                <w:b/>
              </w:rPr>
              <w:t>正处级</w:t>
            </w:r>
          </w:p>
        </w:tc>
        <w:tc>
          <w:tcPr>
            <w:tcW w:w="4202" w:type="dxa"/>
            <w:gridSpan w:val="3"/>
            <w:vAlign w:val="center"/>
          </w:tcPr>
          <w:p>
            <w:pPr>
              <w:spacing w:line="300" w:lineRule="exact"/>
              <w:jc w:val="center"/>
              <w:rPr>
                <w:rFonts w:hint="eastAsia" w:ascii="方正书宋_GBK" w:eastAsia="方正书宋_GBK"/>
                <w:b/>
              </w:rPr>
            </w:pPr>
            <w:r>
              <w:rPr>
                <w:rFonts w:hint="eastAsia" w:ascii="方正书宋_GBK" w:eastAsia="方正书宋_GBK"/>
                <w:b/>
              </w:rPr>
              <w:t>财政</w:t>
            </w:r>
            <w:r>
              <w:rPr>
                <w:rFonts w:hint="eastAsia" w:ascii="方正书宋_GBK" w:eastAsia="方正书宋_GBK"/>
                <w:b/>
                <w:lang w:eastAsia="zh-CN"/>
              </w:rPr>
              <w:t>拨款</w:t>
            </w:r>
          </w:p>
        </w:tc>
      </w:tr>
    </w:tbl>
    <w:p>
      <w:pPr>
        <w:ind w:firstLine="562" w:firstLineChars="200"/>
        <w:rPr>
          <w:rFonts w:hint="eastAsia" w:ascii="楷体_GB2312" w:hAnsi="楷体_GB2312" w:eastAsia="楷体_GB2312" w:cs="楷体_GB2312"/>
          <w:b/>
          <w:bCs/>
          <w:sz w:val="28"/>
          <w:lang w:eastAsia="zh-CN"/>
        </w:rPr>
      </w:pPr>
    </w:p>
    <w:p>
      <w:pPr>
        <w:numPr>
          <w:ilvl w:val="0"/>
          <w:numId w:val="1"/>
        </w:num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rPr>
        <w:t>部门</w:t>
      </w:r>
      <w:r>
        <w:rPr>
          <w:rFonts w:hint="eastAsia" w:ascii="黑体" w:hAnsi="黑体" w:eastAsia="黑体" w:cs="黑体"/>
          <w:sz w:val="32"/>
          <w:szCs w:val="32"/>
          <w:lang w:eastAsia="zh-CN"/>
        </w:rPr>
        <w:t>预算安排总体情况</w:t>
      </w:r>
    </w:p>
    <w:p>
      <w:pPr>
        <w:numPr>
          <w:ilvl w:val="0"/>
          <w:numId w:val="0"/>
        </w:numPr>
        <w:rPr>
          <w:rFonts w:hint="eastAsia" w:ascii="黑体" w:hAnsi="黑体" w:eastAsia="黑体" w:cs="黑体"/>
          <w:sz w:val="32"/>
          <w:szCs w:val="32"/>
          <w:lang w:eastAsia="zh-CN"/>
        </w:rPr>
      </w:pP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lang w:val="en-US" w:eastAsia="zh-CN"/>
        </w:rPr>
        <w:t>按照预算管理有关规定，我市部门预算编制实行综合预算制度。即全部预算收入和支出都反映在预算中。石家庄市金融工作办公室机关的收支包含在预算中。</w:t>
      </w:r>
    </w:p>
    <w:p>
      <w:pPr>
        <w:numPr>
          <w:ilvl w:val="0"/>
          <w:numId w:val="0"/>
        </w:num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1.收入说明</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反应本部门当年全部收入。2018年预算收入4159.09万元。其中，一般公共预算拨款收入4159.09万元，基金预算收入0万元，财政专户核拨收入0万元，其他来源收入0万元。</w:t>
      </w:r>
    </w:p>
    <w:p>
      <w:pPr>
        <w:numPr>
          <w:ilvl w:val="0"/>
          <w:numId w:val="0"/>
        </w:num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2.支出说明</w:t>
      </w:r>
    </w:p>
    <w:p>
      <w:pPr>
        <w:numPr>
          <w:ilvl w:val="0"/>
          <w:numId w:val="0"/>
        </w:num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收支预算总表支出栏、基本支出表、项目支出表按经济分类和支出功能分类科目编制，反应石家庄市金融工作办公室年度部门预算中支出预算的总体情况。2018年支出预算4159.09万元。其中基本支出390.59万元，包括人员经费和日常公用经费；项目支出3768.5万元，包括本级支出，主要为兑付企业上市奖励资金费用、银企对接活动经费、金融会议经费、加强金融市场管理经费、综合事务管理等经费支出。</w:t>
      </w:r>
    </w:p>
    <w:p>
      <w:pPr>
        <w:numPr>
          <w:ilvl w:val="0"/>
          <w:numId w:val="2"/>
        </w:num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比上年增减情况</w:t>
      </w:r>
    </w:p>
    <w:p>
      <w:pPr>
        <w:numPr>
          <w:ilvl w:val="0"/>
          <w:numId w:val="0"/>
        </w:num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2018年预算收支安排4159.09万元，较2017年预算增加336.42万元，其中，基本支出增加119.92万元，主要为增加人员经费支出；项目支出增加216.5万元，主要为增加兑付企业上市奖励资金费用和加强金融风险管理经费。</w:t>
      </w:r>
    </w:p>
    <w:p>
      <w:pPr>
        <w:numPr>
          <w:ilvl w:val="0"/>
          <w:numId w:val="0"/>
        </w:numPr>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三、机关运行经费安排</w:t>
      </w:r>
    </w:p>
    <w:p>
      <w:pPr>
        <w:numPr>
          <w:ilvl w:val="0"/>
          <w:numId w:val="0"/>
        </w:num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2018年，机关运行经费共计安排57.86万元。主要用于办公及印刷费，邮电费、会议费、公务用车运行维护费及其他日常运行支出。</w:t>
      </w:r>
    </w:p>
    <w:p>
      <w:pPr>
        <w:numPr>
          <w:ilvl w:val="0"/>
          <w:numId w:val="3"/>
        </w:numPr>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财政拨款“三公”经费预算情况及增加变化原因</w:t>
      </w:r>
    </w:p>
    <w:p>
      <w:pPr>
        <w:adjustRightInd w:val="0"/>
        <w:snapToGrid w:val="0"/>
        <w:spacing w:line="600" w:lineRule="exact"/>
        <w:ind w:firstLine="640" w:firstLineChars="200"/>
        <w:jc w:val="left"/>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lang w:val="en-US" w:eastAsia="zh-CN"/>
        </w:rPr>
        <w:t>2018年，我办财政拨款“三公”经费3.48万元。其中，</w:t>
      </w:r>
      <w:r>
        <w:rPr>
          <w:rFonts w:hint="eastAsia" w:ascii="仿宋_GB2312" w:hAnsi="FZFangSong-Z02" w:eastAsia="仿宋_GB2312" w:cs="FZFangSong-Z02"/>
          <w:color w:val="000000"/>
          <w:kern w:val="0"/>
          <w:sz w:val="32"/>
          <w:szCs w:val="32"/>
        </w:rPr>
        <w:t>因公出国（境）费</w:t>
      </w:r>
      <w:r>
        <w:rPr>
          <w:rFonts w:hint="eastAsia" w:ascii="仿宋_GB2312" w:eastAsia="仿宋_GB2312"/>
          <w:color w:val="000000"/>
          <w:kern w:val="0"/>
          <w:sz w:val="32"/>
          <w:szCs w:val="32"/>
        </w:rPr>
        <w:t>0</w:t>
      </w:r>
      <w:r>
        <w:rPr>
          <w:rFonts w:hint="eastAsia" w:ascii="仿宋_GB2312" w:hAnsi="FZFangSong-Z02" w:eastAsia="仿宋_GB2312" w:cs="FZFangSong-Z02"/>
          <w:color w:val="000000"/>
          <w:kern w:val="0"/>
          <w:sz w:val="32"/>
          <w:szCs w:val="32"/>
        </w:rPr>
        <w:t>万元，与上年相比无变化；</w:t>
      </w:r>
      <w:r>
        <w:rPr>
          <w:rFonts w:hint="eastAsia" w:ascii="仿宋_GB2312" w:hAnsi="Times New Roman" w:eastAsia="仿宋_GB2312" w:cs="Times New Roman"/>
          <w:sz w:val="32"/>
          <w:szCs w:val="32"/>
        </w:rPr>
        <w:t>公务用车购置及运维费</w:t>
      </w:r>
      <w:r>
        <w:rPr>
          <w:rFonts w:hint="eastAsia" w:ascii="仿宋_GB2312" w:hAnsi="Times New Roman" w:eastAsia="仿宋_GB2312" w:cs="Times New Roman"/>
          <w:sz w:val="32"/>
          <w:szCs w:val="32"/>
          <w:lang w:val="en-US" w:eastAsia="zh-CN"/>
        </w:rPr>
        <w:t>3</w:t>
      </w:r>
      <w:r>
        <w:rPr>
          <w:rFonts w:hint="eastAsia" w:ascii="仿宋_GB2312" w:hAnsi="Times New Roman" w:eastAsia="仿宋_GB2312" w:cs="Times New Roman"/>
          <w:sz w:val="32"/>
          <w:szCs w:val="32"/>
        </w:rPr>
        <w:t>万元（其中：公务用车购置费为0万元，公务用车运维费</w:t>
      </w:r>
      <w:r>
        <w:rPr>
          <w:rFonts w:hint="eastAsia" w:ascii="仿宋_GB2312" w:hAnsi="Times New Roman" w:eastAsia="仿宋_GB2312" w:cs="Times New Roman"/>
          <w:sz w:val="32"/>
          <w:szCs w:val="32"/>
          <w:lang w:val="en-US" w:eastAsia="zh-CN"/>
        </w:rPr>
        <w:t>3</w:t>
      </w:r>
      <w:r>
        <w:rPr>
          <w:rFonts w:hint="eastAsia" w:ascii="仿宋_GB2312" w:hAnsi="Times New Roman" w:eastAsia="仿宋_GB2312" w:cs="Times New Roman"/>
          <w:sz w:val="32"/>
          <w:szCs w:val="32"/>
        </w:rPr>
        <w:t>万元）</w:t>
      </w:r>
      <w:bookmarkStart w:id="1" w:name="_GoBack"/>
      <w:bookmarkEnd w:id="1"/>
      <w:r>
        <w:rPr>
          <w:rFonts w:hint="eastAsia" w:ascii="仿宋_GB2312" w:hAnsi="仿宋_GB2312" w:eastAsia="仿宋_GB2312" w:cs="仿宋_GB2312"/>
          <w:sz w:val="32"/>
          <w:szCs w:val="32"/>
          <w:lang w:val="en-US" w:eastAsia="zh-CN"/>
        </w:rPr>
        <w:t>，与上年相比无变化；公务接待费0.48万元，与上年相比无变化</w:t>
      </w:r>
      <w:r>
        <w:rPr>
          <w:rFonts w:hint="eastAsia" w:ascii="仿宋_GB2312" w:hAnsi="仿宋_GB2312" w:eastAsia="仿宋_GB2312" w:cs="仿宋_GB2312"/>
          <w:bCs/>
          <w:sz w:val="32"/>
          <w:szCs w:val="32"/>
        </w:rPr>
        <w:t>。</w:t>
      </w:r>
    </w:p>
    <w:p>
      <w:pPr>
        <w:numPr>
          <w:ilvl w:val="0"/>
          <w:numId w:val="3"/>
        </w:numPr>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绩效预算信息</w:t>
      </w:r>
    </w:p>
    <w:p>
      <w:pPr>
        <w:ind w:firstLine="562" w:firstLineChars="200"/>
        <w:rPr>
          <w:rFonts w:hint="eastAsia" w:ascii="黑体" w:hAnsi="黑体" w:eastAsia="黑体" w:cs="黑体"/>
          <w:sz w:val="32"/>
          <w:szCs w:val="32"/>
          <w:lang w:val="en-US" w:eastAsia="zh-CN"/>
        </w:rPr>
      </w:pPr>
      <w:r>
        <w:rPr>
          <w:rFonts w:hint="eastAsia" w:ascii="楷体_GB2312" w:eastAsia="楷体_GB2312"/>
          <w:b/>
          <w:sz w:val="28"/>
        </w:rPr>
        <w:t>总体目标：</w:t>
      </w:r>
    </w:p>
    <w:p>
      <w:pPr>
        <w:ind w:firstLine="560" w:firstLineChars="200"/>
        <w:rPr>
          <w:rFonts w:hint="eastAsia" w:ascii="仿宋_GB2312" w:eastAsia="仿宋_GB2312"/>
          <w:sz w:val="28"/>
        </w:rPr>
      </w:pPr>
      <w:r>
        <w:rPr>
          <w:rFonts w:hint="eastAsia" w:ascii="仿宋_GB2312" w:eastAsia="仿宋_GB2312"/>
          <w:sz w:val="28"/>
        </w:rPr>
        <w:t>2018年，市金融办将在市委、市政府坚强领导下，全面贯彻落实党的十九大、全国金融工作会议、省委九届六次全会和市委十届四次全会关于金融工作的安排部署，统筹做好服务实体经济、深化金融改革、防控金融风险三项任务，推动省会金融业高质量发展，加快全省金融中心建设，努力保持新增贷款规模全省领先，金融业增加值增长10%,为建设现代省会、经济强市提供有力有效的金融支撑。</w:t>
      </w:r>
    </w:p>
    <w:p>
      <w:pPr>
        <w:ind w:firstLine="562" w:firstLineChars="200"/>
        <w:rPr>
          <w:rFonts w:hint="eastAsia" w:ascii="楷体_GB2312" w:eastAsia="楷体_GB2312"/>
          <w:b/>
          <w:sz w:val="28"/>
        </w:rPr>
      </w:pPr>
      <w:r>
        <w:rPr>
          <w:rFonts w:hint="eastAsia" w:ascii="楷体_GB2312" w:eastAsia="楷体_GB2312"/>
          <w:b/>
          <w:sz w:val="28"/>
        </w:rPr>
        <w:t>职责分类绩效目标：</w:t>
      </w:r>
    </w:p>
    <w:p>
      <w:pPr>
        <w:ind w:firstLine="560" w:firstLineChars="200"/>
        <w:rPr>
          <w:rFonts w:hint="eastAsia" w:ascii="仿宋_GB2312" w:eastAsia="仿宋_GB2312"/>
          <w:sz w:val="28"/>
        </w:rPr>
      </w:pPr>
      <w:r>
        <w:rPr>
          <w:rFonts w:hint="eastAsia" w:ascii="仿宋_GB2312" w:eastAsia="仿宋_GB2312"/>
          <w:sz w:val="28"/>
        </w:rPr>
        <w:t>（一）引导金融服务实体经济。鼓励各金融机构围绕构建“4+4”产业体系、京津冀协同发展、大气污染防治、脱贫攻坚等重点工作，创新产品、加强服务，加大金融支持力度，确保新增贷款规模全省领先。认真贯彻市政府关于大力支持企业上市工作的意见，完善后备上市企业培育管理办法，力争全年实现30家以上企业在多层次资本市场挂牌上市。</w:t>
      </w:r>
    </w:p>
    <w:p>
      <w:pPr>
        <w:ind w:firstLine="560" w:firstLineChars="200"/>
        <w:rPr>
          <w:rFonts w:hint="eastAsia" w:ascii="仿宋_GB2312" w:eastAsia="仿宋_GB2312"/>
          <w:sz w:val="28"/>
        </w:rPr>
      </w:pPr>
      <w:r>
        <w:rPr>
          <w:rFonts w:hint="eastAsia" w:ascii="仿宋_GB2312" w:eastAsia="仿宋_GB2312"/>
          <w:sz w:val="28"/>
        </w:rPr>
        <w:t>（二）大力推进地方金融改革。按照全省工作安排，进一步完善地方金融监管体制。积极引进新设金融机构，健全省会金融组织体系。继续推进农村信用社改革，加快县级农村信用社改制农商行步伐，稳妥推进设立市级农村商业银行。深入落实小微贷款风险补偿机制和政银保合作模式，提升普惠金融服务水平。</w:t>
      </w:r>
    </w:p>
    <w:p>
      <w:pPr>
        <w:ind w:firstLine="560" w:firstLineChars="200"/>
        <w:rPr>
          <w:rFonts w:hint="eastAsia" w:ascii="仿宋_GB2312" w:eastAsia="仿宋_GB2312"/>
          <w:sz w:val="28"/>
        </w:rPr>
      </w:pPr>
      <w:r>
        <w:rPr>
          <w:rFonts w:hint="eastAsia" w:ascii="仿宋_GB2312" w:eastAsia="仿宋_GB2312"/>
          <w:sz w:val="28"/>
        </w:rPr>
        <w:t>（三）严密防范金融风险。进一步加大防范非法金融活动力度，健全打击和处置非法集资工作机制，多形式开展防范非法集资宣传，妥善处置涉稳案件，切实维护正常的经济金融秩序和社会稳定。</w:t>
      </w:r>
    </w:p>
    <w:p>
      <w:pPr>
        <w:ind w:firstLine="560" w:firstLineChars="200"/>
        <w:rPr>
          <w:rFonts w:hint="eastAsia" w:ascii="仿宋_GB2312" w:hAnsi="仿宋_GB2312" w:eastAsia="仿宋_GB2312" w:cs="仿宋_GB2312"/>
          <w:sz w:val="28"/>
        </w:rPr>
      </w:pPr>
    </w:p>
    <w:p>
      <w:pPr>
        <w:jc w:val="center"/>
        <w:rPr>
          <w:rFonts w:hint="eastAsia" w:ascii="方正小标宋_GBK" w:eastAsia="方正小标宋_GBK"/>
          <w:sz w:val="32"/>
        </w:rPr>
      </w:pPr>
      <w:bookmarkStart w:id="0" w:name="_Toc503530698"/>
      <w:r>
        <w:rPr>
          <w:rFonts w:hint="eastAsia" w:ascii="方正小标宋_GBK" w:eastAsia="方正小标宋_GBK"/>
          <w:sz w:val="32"/>
        </w:rPr>
        <w:t>部门职责-工作活动绩效目标</w:t>
      </w:r>
      <w:bookmarkEnd w:id="0"/>
    </w:p>
    <w:tbl>
      <w:tblPr>
        <w:tblStyle w:val="3"/>
        <w:tblW w:w="911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907"/>
        <w:gridCol w:w="818"/>
        <w:gridCol w:w="2175"/>
        <w:gridCol w:w="2175"/>
        <w:gridCol w:w="676"/>
        <w:gridCol w:w="676"/>
        <w:gridCol w:w="449"/>
        <w:gridCol w:w="667"/>
        <w:gridCol w:w="5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tblHeader/>
          <w:jc w:val="center"/>
        </w:trPr>
        <w:tc>
          <w:tcPr>
            <w:tcW w:w="6751"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382</w:t>
            </w:r>
            <w:r>
              <w:rPr>
                <w:rFonts w:hint="eastAsia" w:ascii="方正小标宋_GBK" w:eastAsia="方正小标宋_GBK"/>
                <w:sz w:val="24"/>
              </w:rPr>
              <w:t>石家庄市金融工作办公室</w:t>
            </w:r>
          </w:p>
        </w:tc>
        <w:tc>
          <w:tcPr>
            <w:tcW w:w="236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tblHeader/>
          <w:jc w:val="center"/>
        </w:trPr>
        <w:tc>
          <w:tcPr>
            <w:tcW w:w="907"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职责</w:t>
            </w:r>
          </w:p>
          <w:p>
            <w:pPr>
              <w:spacing w:line="300" w:lineRule="exact"/>
              <w:jc w:val="center"/>
              <w:rPr>
                <w:rFonts w:ascii="方正书宋_GBK" w:eastAsia="方正书宋_GBK"/>
                <w:b/>
              </w:rPr>
            </w:pPr>
            <w:r>
              <w:rPr>
                <w:rFonts w:hint="eastAsia" w:ascii="方正书宋_GBK" w:eastAsia="方正书宋_GBK"/>
                <w:b/>
              </w:rPr>
              <w:t>活动</w:t>
            </w:r>
          </w:p>
        </w:tc>
        <w:tc>
          <w:tcPr>
            <w:tcW w:w="818"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175"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175"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6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366"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tblHeader/>
          <w:jc w:val="center"/>
        </w:trPr>
        <w:tc>
          <w:tcPr>
            <w:tcW w:w="907" w:type="dxa"/>
            <w:vMerge w:val="continue"/>
            <w:vAlign w:val="center"/>
          </w:tcPr>
          <w:p>
            <w:pPr>
              <w:spacing w:line="300" w:lineRule="exact"/>
              <w:jc w:val="left"/>
              <w:outlineLvl w:val="0"/>
            </w:pPr>
          </w:p>
        </w:tc>
        <w:tc>
          <w:tcPr>
            <w:tcW w:w="818" w:type="dxa"/>
            <w:vMerge w:val="continue"/>
            <w:vAlign w:val="center"/>
          </w:tcPr>
          <w:p>
            <w:pPr>
              <w:spacing w:line="300" w:lineRule="exact"/>
              <w:jc w:val="left"/>
              <w:outlineLvl w:val="0"/>
            </w:pPr>
          </w:p>
        </w:tc>
        <w:tc>
          <w:tcPr>
            <w:tcW w:w="2175" w:type="dxa"/>
            <w:vMerge w:val="continue"/>
            <w:vAlign w:val="center"/>
          </w:tcPr>
          <w:p>
            <w:pPr>
              <w:spacing w:line="300" w:lineRule="exact"/>
              <w:jc w:val="left"/>
              <w:outlineLvl w:val="0"/>
            </w:pPr>
          </w:p>
        </w:tc>
        <w:tc>
          <w:tcPr>
            <w:tcW w:w="2175" w:type="dxa"/>
            <w:vMerge w:val="continue"/>
            <w:vAlign w:val="center"/>
          </w:tcPr>
          <w:p>
            <w:pPr>
              <w:spacing w:line="300" w:lineRule="exact"/>
              <w:jc w:val="left"/>
              <w:outlineLvl w:val="0"/>
            </w:pPr>
          </w:p>
        </w:tc>
        <w:tc>
          <w:tcPr>
            <w:tcW w:w="676" w:type="dxa"/>
            <w:vMerge w:val="continue"/>
            <w:vAlign w:val="center"/>
          </w:tcPr>
          <w:p>
            <w:pPr>
              <w:spacing w:line="300" w:lineRule="exact"/>
              <w:jc w:val="left"/>
              <w:outlineLvl w:val="0"/>
            </w:pPr>
          </w:p>
        </w:tc>
        <w:tc>
          <w:tcPr>
            <w:tcW w:w="676"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449"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66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574"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ascii="方正书宋_GBK" w:eastAsia="方正书宋_GBK"/>
                <w:b/>
              </w:rPr>
            </w:pPr>
            <w:r>
              <w:rPr>
                <w:rFonts w:hint="eastAsia" w:ascii="方正书宋_GBK" w:eastAsia="方正书宋_GBK"/>
                <w:b/>
              </w:rPr>
              <w:t>一、落实金融政策</w:t>
            </w:r>
          </w:p>
        </w:tc>
        <w:tc>
          <w:tcPr>
            <w:tcW w:w="818" w:type="dxa"/>
            <w:vAlign w:val="center"/>
          </w:tcPr>
          <w:p>
            <w:pPr>
              <w:spacing w:line="300" w:lineRule="exact"/>
              <w:jc w:val="left"/>
              <w:rPr>
                <w:rFonts w:ascii="方正书宋_GBK" w:eastAsia="方正书宋_GBK"/>
              </w:rPr>
            </w:pPr>
            <w:r>
              <w:rPr>
                <w:rFonts w:ascii="方正书宋_GBK" w:eastAsia="方正书宋_GBK"/>
              </w:rPr>
              <w:t>3580.00</w:t>
            </w:r>
          </w:p>
        </w:tc>
        <w:tc>
          <w:tcPr>
            <w:tcW w:w="2175" w:type="dxa"/>
            <w:vAlign w:val="center"/>
          </w:tcPr>
          <w:p>
            <w:pPr>
              <w:spacing w:line="300" w:lineRule="exact"/>
              <w:jc w:val="left"/>
              <w:rPr>
                <w:rFonts w:ascii="方正书宋_GBK" w:eastAsia="方正书宋_GBK"/>
              </w:rPr>
            </w:pPr>
            <w:r>
              <w:rPr>
                <w:rFonts w:hint="eastAsia" w:ascii="方正书宋_GBK" w:eastAsia="方正书宋_GBK"/>
              </w:rPr>
              <w:t>负责与驻石金融机构的联系，协调解决金融运行中涉及地方政府配合的相关事宜。</w:t>
            </w:r>
          </w:p>
        </w:tc>
        <w:tc>
          <w:tcPr>
            <w:tcW w:w="2175" w:type="dxa"/>
            <w:vAlign w:val="center"/>
          </w:tcPr>
          <w:p>
            <w:pPr>
              <w:spacing w:line="300" w:lineRule="exact"/>
              <w:jc w:val="left"/>
              <w:rPr>
                <w:rFonts w:ascii="方正书宋_GBK" w:eastAsia="方正书宋_GBK"/>
              </w:rPr>
            </w:pPr>
            <w:r>
              <w:rPr>
                <w:rFonts w:hint="eastAsia" w:ascii="方正书宋_GBK" w:eastAsia="方正书宋_GBK"/>
              </w:rPr>
              <w:t>贯彻执行国家金融工作方针政策和法律法规。协调推进省会金融中心城市建设。</w:t>
            </w:r>
          </w:p>
        </w:tc>
        <w:tc>
          <w:tcPr>
            <w:tcW w:w="676" w:type="dxa"/>
            <w:vAlign w:val="center"/>
          </w:tcPr>
          <w:p>
            <w:pPr>
              <w:spacing w:line="300" w:lineRule="exact"/>
              <w:jc w:val="left"/>
              <w:rPr>
                <w:rFonts w:ascii="方正书宋_GBK" w:eastAsia="方正书宋_GBK"/>
              </w:rPr>
            </w:pPr>
          </w:p>
        </w:tc>
        <w:tc>
          <w:tcPr>
            <w:tcW w:w="676" w:type="dxa"/>
            <w:vAlign w:val="center"/>
          </w:tcPr>
          <w:p>
            <w:pPr>
              <w:spacing w:line="300" w:lineRule="exact"/>
              <w:jc w:val="center"/>
              <w:rPr>
                <w:rFonts w:ascii="方正书宋_GBK" w:eastAsia="方正书宋_GBK"/>
              </w:rPr>
            </w:pPr>
          </w:p>
        </w:tc>
        <w:tc>
          <w:tcPr>
            <w:tcW w:w="449" w:type="dxa"/>
            <w:vAlign w:val="center"/>
          </w:tcPr>
          <w:p>
            <w:pPr>
              <w:spacing w:line="300" w:lineRule="exact"/>
              <w:jc w:val="center"/>
              <w:rPr>
                <w:rFonts w:ascii="方正书宋_GBK" w:eastAsia="方正书宋_GBK"/>
              </w:rPr>
            </w:pPr>
          </w:p>
        </w:tc>
        <w:tc>
          <w:tcPr>
            <w:tcW w:w="667" w:type="dxa"/>
            <w:vAlign w:val="center"/>
          </w:tcPr>
          <w:p>
            <w:pPr>
              <w:spacing w:line="300" w:lineRule="exact"/>
              <w:jc w:val="center"/>
              <w:rPr>
                <w:rFonts w:ascii="方正书宋_GBK" w:eastAsia="方正书宋_GBK"/>
              </w:rPr>
            </w:pPr>
          </w:p>
        </w:tc>
        <w:tc>
          <w:tcPr>
            <w:tcW w:w="574"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银企对接活动</w:t>
            </w:r>
          </w:p>
        </w:tc>
        <w:tc>
          <w:tcPr>
            <w:tcW w:w="818" w:type="dxa"/>
            <w:vAlign w:val="center"/>
          </w:tcPr>
          <w:p>
            <w:pPr>
              <w:spacing w:line="300" w:lineRule="exact"/>
              <w:jc w:val="left"/>
              <w:rPr>
                <w:rFonts w:ascii="方正书宋_GBK" w:eastAsia="方正书宋_GBK"/>
              </w:rPr>
            </w:pPr>
            <w:r>
              <w:rPr>
                <w:rFonts w:ascii="方正书宋_GBK" w:eastAsia="方正书宋_GBK"/>
              </w:rPr>
              <w:t>14.00</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组织银企对接活动，搭建网络银企对接平台。</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根据年度工作重点，我办每季度将定期召开银企对接会，参加单位为驻石金融机构和有意向的企业；不定期组织金融机构开展专项银企对接。</w:t>
            </w:r>
          </w:p>
        </w:tc>
        <w:tc>
          <w:tcPr>
            <w:tcW w:w="676" w:type="dxa"/>
            <w:vAlign w:val="center"/>
          </w:tcPr>
          <w:p>
            <w:pPr>
              <w:spacing w:line="300" w:lineRule="exact"/>
              <w:jc w:val="left"/>
              <w:rPr>
                <w:rFonts w:ascii="方正书宋_GBK" w:eastAsia="方正书宋_GBK"/>
              </w:rPr>
            </w:pPr>
            <w:r>
              <w:rPr>
                <w:rFonts w:hint="eastAsia" w:ascii="方正书宋_GBK" w:eastAsia="方正书宋_GBK"/>
              </w:rPr>
              <w:t>举办活动数量</w:t>
            </w:r>
          </w:p>
        </w:tc>
        <w:tc>
          <w:tcPr>
            <w:tcW w:w="676" w:type="dxa"/>
            <w:vAlign w:val="center"/>
          </w:tcPr>
          <w:p>
            <w:pPr>
              <w:spacing w:line="300" w:lineRule="exact"/>
              <w:jc w:val="center"/>
              <w:rPr>
                <w:rFonts w:ascii="方正书宋_GBK" w:eastAsia="方正书宋_GBK"/>
              </w:rPr>
            </w:pPr>
            <w:r>
              <w:rPr>
                <w:rFonts w:ascii="方正书宋_GBK" w:eastAsia="方正书宋_GBK"/>
              </w:rPr>
              <w:t>4</w:t>
            </w:r>
          </w:p>
        </w:tc>
        <w:tc>
          <w:tcPr>
            <w:tcW w:w="449" w:type="dxa"/>
            <w:vAlign w:val="center"/>
          </w:tcPr>
          <w:p>
            <w:pPr>
              <w:spacing w:line="300" w:lineRule="exact"/>
              <w:jc w:val="center"/>
              <w:rPr>
                <w:rFonts w:ascii="方正书宋_GBK" w:eastAsia="方正书宋_GBK"/>
              </w:rPr>
            </w:pPr>
            <w:r>
              <w:rPr>
                <w:rFonts w:ascii="方正书宋_GBK" w:eastAsia="方正书宋_GBK"/>
              </w:rPr>
              <w:t>3</w:t>
            </w:r>
          </w:p>
        </w:tc>
        <w:tc>
          <w:tcPr>
            <w:tcW w:w="667" w:type="dxa"/>
            <w:vAlign w:val="center"/>
          </w:tcPr>
          <w:p>
            <w:pPr>
              <w:spacing w:line="300" w:lineRule="exact"/>
              <w:jc w:val="center"/>
              <w:rPr>
                <w:rFonts w:ascii="方正书宋_GBK" w:eastAsia="方正书宋_GBK"/>
              </w:rPr>
            </w:pPr>
            <w:r>
              <w:rPr>
                <w:rFonts w:ascii="方正书宋_GBK" w:eastAsia="方正书宋_GBK"/>
              </w:rPr>
              <w:t>2</w:t>
            </w:r>
          </w:p>
        </w:tc>
        <w:tc>
          <w:tcPr>
            <w:tcW w:w="574"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金融</w:t>
            </w:r>
          </w:p>
          <w:p>
            <w:pPr>
              <w:spacing w:line="300" w:lineRule="exact"/>
              <w:jc w:val="left"/>
              <w:rPr>
                <w:rFonts w:hint="eastAsia" w:ascii="方正书宋_GBK" w:eastAsia="方正书宋_GBK"/>
                <w:b/>
              </w:rPr>
            </w:pPr>
            <w:r>
              <w:rPr>
                <w:rFonts w:hint="eastAsia" w:ascii="方正书宋_GBK" w:eastAsia="方正书宋_GBK"/>
                <w:b/>
              </w:rPr>
              <w:t>分析</w:t>
            </w:r>
          </w:p>
        </w:tc>
        <w:tc>
          <w:tcPr>
            <w:tcW w:w="818" w:type="dxa"/>
            <w:vAlign w:val="center"/>
          </w:tcPr>
          <w:p>
            <w:pPr>
              <w:spacing w:line="300" w:lineRule="exact"/>
              <w:jc w:val="left"/>
              <w:rPr>
                <w:rFonts w:ascii="方正书宋_GBK" w:eastAsia="方正书宋_GBK"/>
              </w:rPr>
            </w:pP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分析全市金融形势和运行情况，汇总金融统计报表。根据市领导指示精神，组织专题调查研究。</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每月进行金融运行分析，报告金融运行情况。不定期组织一行三局及金融机构开展专题调研。</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调研完成率</w:t>
            </w:r>
          </w:p>
        </w:tc>
        <w:tc>
          <w:tcPr>
            <w:tcW w:w="676"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w:t>
            </w:r>
          </w:p>
          <w:p>
            <w:pPr>
              <w:spacing w:line="300" w:lineRule="exact"/>
              <w:jc w:val="center"/>
              <w:rPr>
                <w:rFonts w:ascii="方正书宋_GBK" w:eastAsia="方正书宋_GBK"/>
              </w:rPr>
            </w:pPr>
            <w:r>
              <w:rPr>
                <w:rFonts w:hint="eastAsia" w:ascii="方正书宋_GBK" w:eastAsia="方正书宋_GBK"/>
              </w:rPr>
              <w:t>调研任务</w:t>
            </w:r>
          </w:p>
        </w:tc>
        <w:tc>
          <w:tcPr>
            <w:tcW w:w="449"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66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574"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ind w:firstLine="211" w:firstLineChars="100"/>
              <w:jc w:val="left"/>
              <w:rPr>
                <w:rFonts w:hint="eastAsia" w:ascii="方正书宋_GBK" w:eastAsia="方正书宋_GBK"/>
                <w:b/>
              </w:rPr>
            </w:pPr>
            <w:r>
              <w:rPr>
                <w:rFonts w:hint="eastAsia" w:ascii="方正书宋_GBK" w:eastAsia="方正书宋_GBK"/>
                <w:b/>
              </w:rPr>
              <w:t>金融</w:t>
            </w:r>
          </w:p>
          <w:p>
            <w:pPr>
              <w:spacing w:line="300" w:lineRule="exact"/>
              <w:ind w:firstLine="211" w:firstLineChars="100"/>
              <w:jc w:val="left"/>
              <w:rPr>
                <w:rFonts w:hint="eastAsia" w:ascii="方正书宋_GBK" w:eastAsia="方正书宋_GBK"/>
                <w:b/>
              </w:rPr>
            </w:pPr>
            <w:r>
              <w:rPr>
                <w:rFonts w:hint="eastAsia" w:ascii="方正书宋_GBK" w:eastAsia="方正书宋_GBK"/>
                <w:b/>
              </w:rPr>
              <w:t>会议</w:t>
            </w:r>
          </w:p>
        </w:tc>
        <w:tc>
          <w:tcPr>
            <w:tcW w:w="818" w:type="dxa"/>
            <w:vAlign w:val="center"/>
          </w:tcPr>
          <w:p>
            <w:pPr>
              <w:spacing w:line="300" w:lineRule="exact"/>
              <w:jc w:val="left"/>
              <w:rPr>
                <w:rFonts w:ascii="方正书宋_GBK" w:eastAsia="方正书宋_GBK"/>
              </w:rPr>
            </w:pPr>
            <w:r>
              <w:rPr>
                <w:rFonts w:ascii="方正书宋_GBK" w:eastAsia="方正书宋_GBK"/>
              </w:rPr>
              <w:t>16.00</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根据市领导指示精神，不定期召开金融工作专题会议。</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召开金融工作专题会议</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会议完成率</w:t>
            </w:r>
          </w:p>
        </w:tc>
        <w:tc>
          <w:tcPr>
            <w:tcW w:w="676"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w:t>
            </w:r>
          </w:p>
          <w:p>
            <w:pPr>
              <w:spacing w:line="300" w:lineRule="exact"/>
              <w:jc w:val="center"/>
              <w:rPr>
                <w:rFonts w:ascii="方正书宋_GBK" w:eastAsia="方正书宋_GBK"/>
              </w:rPr>
            </w:pPr>
            <w:r>
              <w:rPr>
                <w:rFonts w:hint="eastAsia" w:ascii="方正书宋_GBK" w:eastAsia="方正书宋_GBK"/>
              </w:rPr>
              <w:t>制定任务</w:t>
            </w:r>
          </w:p>
        </w:tc>
        <w:tc>
          <w:tcPr>
            <w:tcW w:w="449"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66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574"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业务知识指导</w:t>
            </w:r>
          </w:p>
        </w:tc>
        <w:tc>
          <w:tcPr>
            <w:tcW w:w="818" w:type="dxa"/>
            <w:vAlign w:val="center"/>
          </w:tcPr>
          <w:p>
            <w:pPr>
              <w:spacing w:line="300" w:lineRule="exact"/>
              <w:jc w:val="left"/>
              <w:rPr>
                <w:rFonts w:ascii="方正书宋_GBK" w:eastAsia="方正书宋_GBK"/>
              </w:rPr>
            </w:pP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组织金融知识培训。</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金融办自身建设更加扎实，金融队伍工作科学化水平进一步提升</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培训率</w:t>
            </w:r>
          </w:p>
        </w:tc>
        <w:tc>
          <w:tcPr>
            <w:tcW w:w="676" w:type="dxa"/>
            <w:vAlign w:val="center"/>
          </w:tcPr>
          <w:p>
            <w:pPr>
              <w:spacing w:line="300" w:lineRule="exact"/>
              <w:jc w:val="center"/>
              <w:rPr>
                <w:rFonts w:ascii="方正书宋_GBK" w:eastAsia="方正书宋_GBK"/>
              </w:rPr>
            </w:pPr>
            <w:r>
              <w:rPr>
                <w:rFonts w:ascii="方正书宋_GBK" w:eastAsia="方正书宋_GBK"/>
              </w:rPr>
              <w:t>100%</w:t>
            </w:r>
            <w:r>
              <w:rPr>
                <w:rFonts w:hint="eastAsia" w:ascii="方正书宋_GBK" w:eastAsia="方正书宋_GBK"/>
              </w:rPr>
              <w:t>完成</w:t>
            </w:r>
          </w:p>
          <w:p>
            <w:pPr>
              <w:spacing w:line="300" w:lineRule="exact"/>
              <w:jc w:val="center"/>
              <w:rPr>
                <w:rFonts w:ascii="方正书宋_GBK" w:eastAsia="方正书宋_GBK"/>
              </w:rPr>
            </w:pPr>
            <w:r>
              <w:rPr>
                <w:rFonts w:hint="eastAsia" w:ascii="方正书宋_GBK" w:eastAsia="方正书宋_GBK"/>
              </w:rPr>
              <w:t>培训任务</w:t>
            </w:r>
          </w:p>
        </w:tc>
        <w:tc>
          <w:tcPr>
            <w:tcW w:w="449"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66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574"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推动企业上市</w:t>
            </w:r>
          </w:p>
        </w:tc>
        <w:tc>
          <w:tcPr>
            <w:tcW w:w="818" w:type="dxa"/>
            <w:vAlign w:val="center"/>
          </w:tcPr>
          <w:p>
            <w:pPr>
              <w:spacing w:line="300" w:lineRule="exact"/>
              <w:jc w:val="left"/>
              <w:rPr>
                <w:rFonts w:ascii="方正书宋_GBK" w:eastAsia="方正书宋_GBK"/>
              </w:rPr>
            </w:pPr>
            <w:r>
              <w:rPr>
                <w:rFonts w:ascii="方正书宋_GBK" w:eastAsia="方正书宋_GBK"/>
              </w:rPr>
              <w:t>3550.00</w:t>
            </w:r>
          </w:p>
        </w:tc>
        <w:tc>
          <w:tcPr>
            <w:tcW w:w="2175" w:type="dxa"/>
            <w:vAlign w:val="center"/>
          </w:tcPr>
          <w:p>
            <w:pPr>
              <w:spacing w:line="300" w:lineRule="exact"/>
              <w:jc w:val="left"/>
              <w:rPr>
                <w:rFonts w:ascii="方正书宋_GBK" w:eastAsia="方正书宋_GBK"/>
              </w:rPr>
            </w:pPr>
            <w:r>
              <w:rPr>
                <w:rFonts w:hint="eastAsia" w:ascii="方正书宋_GBK" w:eastAsia="方正书宋_GBK"/>
              </w:rPr>
              <w:t>推进企业上市融资；配合有关部门指导上市公司建立和完善现代企业制度，处置上市公司风险，协调有关部门依法对上市公司实施破产、重组、托管；牵头组织相关企业发行债券，指导协调期货、基金、产权交易等新兴金融行业和金融中介服务业</w:t>
            </w:r>
          </w:p>
          <w:p>
            <w:pPr>
              <w:spacing w:line="300" w:lineRule="exact"/>
              <w:jc w:val="left"/>
              <w:rPr>
                <w:rFonts w:hint="eastAsia" w:ascii="方正书宋_GBK" w:eastAsia="方正书宋_GBK"/>
              </w:rPr>
            </w:pPr>
            <w:r>
              <w:rPr>
                <w:rFonts w:hint="eastAsia" w:ascii="方正书宋_GBK" w:eastAsia="方正书宋_GBK"/>
              </w:rPr>
              <w:t>有序发展。</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根据我市</w:t>
            </w:r>
            <w:r>
              <w:rPr>
                <w:rFonts w:ascii="方正书宋_GBK" w:eastAsia="方正书宋_GBK"/>
              </w:rPr>
              <w:t>100</w:t>
            </w:r>
            <w:r>
              <w:rPr>
                <w:rFonts w:hint="eastAsia" w:ascii="方正书宋_GBK" w:eastAsia="方正书宋_GBK"/>
              </w:rPr>
              <w:t>余家后备企业各自上市进度及发展实际，将分期分批组织企业赴上海交易所、深圳交易所、全国中小企业股份转让系统（北京）、石家庄股权交易所进行学习培训。同时，也会邀请中国证监会、省金融办、交易所及中介服务机构有关专家来石开展专题对接，对口辅导，积极推动我市企业上市。</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企业上市率</w:t>
            </w:r>
          </w:p>
        </w:tc>
        <w:tc>
          <w:tcPr>
            <w:tcW w:w="67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449"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66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574"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二、加强金融市场管理</w:t>
            </w:r>
          </w:p>
        </w:tc>
        <w:tc>
          <w:tcPr>
            <w:tcW w:w="818" w:type="dxa"/>
            <w:vAlign w:val="center"/>
          </w:tcPr>
          <w:p>
            <w:pPr>
              <w:spacing w:line="300" w:lineRule="exact"/>
              <w:jc w:val="left"/>
              <w:rPr>
                <w:rFonts w:ascii="方正书宋_GBK" w:eastAsia="方正书宋_GBK"/>
              </w:rPr>
            </w:pPr>
            <w:r>
              <w:rPr>
                <w:rFonts w:ascii="方正书宋_GBK" w:eastAsia="方正书宋_GBK"/>
              </w:rPr>
              <w:t>180.00</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配合金融监管机构依法加强金融监管，整顿和规范金融市场秩序</w:t>
            </w:r>
          </w:p>
        </w:tc>
        <w:tc>
          <w:tcPr>
            <w:tcW w:w="2175" w:type="dxa"/>
            <w:vAlign w:val="center"/>
          </w:tcPr>
          <w:p>
            <w:pPr>
              <w:spacing w:line="300" w:lineRule="exact"/>
              <w:jc w:val="left"/>
              <w:rPr>
                <w:rFonts w:ascii="方正书宋_GBK" w:eastAsia="方正书宋_GBK"/>
              </w:rPr>
            </w:pPr>
            <w:r>
              <w:rPr>
                <w:rFonts w:hint="eastAsia" w:ascii="方正书宋_GBK" w:eastAsia="方正书宋_GBK"/>
              </w:rPr>
              <w:t>负责全市小额贷款公司的监督管理，指导县</w:t>
            </w:r>
          </w:p>
          <w:p>
            <w:pPr>
              <w:spacing w:line="300" w:lineRule="exact"/>
              <w:jc w:val="left"/>
              <w:rPr>
                <w:rFonts w:hint="eastAsia" w:ascii="方正书宋_GBK" w:eastAsia="方正书宋_GBK"/>
              </w:rPr>
            </w:pPr>
            <w:r>
              <w:rPr>
                <w:rFonts w:hint="eastAsia" w:ascii="方正书宋_GBK" w:eastAsia="方正书宋_GBK"/>
              </w:rPr>
              <w:t>（市）、区有关部门依法开展相关工作。会同有关部门规范我市金融市场秩序。</w:t>
            </w:r>
          </w:p>
        </w:tc>
        <w:tc>
          <w:tcPr>
            <w:tcW w:w="676" w:type="dxa"/>
            <w:vAlign w:val="center"/>
          </w:tcPr>
          <w:p>
            <w:pPr>
              <w:spacing w:line="300" w:lineRule="exact"/>
              <w:jc w:val="left"/>
              <w:rPr>
                <w:rFonts w:hint="eastAsia" w:ascii="方正书宋_GBK" w:eastAsia="方正书宋_GBK"/>
              </w:rPr>
            </w:pPr>
          </w:p>
        </w:tc>
        <w:tc>
          <w:tcPr>
            <w:tcW w:w="676" w:type="dxa"/>
            <w:vAlign w:val="center"/>
          </w:tcPr>
          <w:p>
            <w:pPr>
              <w:spacing w:line="300" w:lineRule="exact"/>
              <w:jc w:val="center"/>
              <w:rPr>
                <w:rFonts w:hint="eastAsia" w:ascii="方正书宋_GBK" w:eastAsia="方正书宋_GBK"/>
              </w:rPr>
            </w:pPr>
          </w:p>
        </w:tc>
        <w:tc>
          <w:tcPr>
            <w:tcW w:w="449" w:type="dxa"/>
            <w:vAlign w:val="center"/>
          </w:tcPr>
          <w:p>
            <w:pPr>
              <w:spacing w:line="300" w:lineRule="exact"/>
              <w:jc w:val="center"/>
              <w:rPr>
                <w:rFonts w:hint="eastAsia" w:ascii="方正书宋_GBK" w:eastAsia="方正书宋_GBK"/>
              </w:rPr>
            </w:pPr>
          </w:p>
        </w:tc>
        <w:tc>
          <w:tcPr>
            <w:tcW w:w="667" w:type="dxa"/>
            <w:vAlign w:val="center"/>
          </w:tcPr>
          <w:p>
            <w:pPr>
              <w:spacing w:line="300" w:lineRule="exact"/>
              <w:jc w:val="center"/>
              <w:rPr>
                <w:rFonts w:hint="eastAsia" w:ascii="方正书宋_GBK" w:eastAsia="方正书宋_GBK"/>
              </w:rPr>
            </w:pPr>
          </w:p>
        </w:tc>
        <w:tc>
          <w:tcPr>
            <w:tcW w:w="574"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防范非法集资</w:t>
            </w:r>
          </w:p>
        </w:tc>
        <w:tc>
          <w:tcPr>
            <w:tcW w:w="818" w:type="dxa"/>
            <w:vAlign w:val="center"/>
          </w:tcPr>
          <w:p>
            <w:pPr>
              <w:spacing w:line="300" w:lineRule="exact"/>
              <w:jc w:val="left"/>
              <w:rPr>
                <w:rFonts w:ascii="方正书宋_GBK" w:eastAsia="方正书宋_GBK"/>
              </w:rPr>
            </w:pPr>
            <w:r>
              <w:rPr>
                <w:rFonts w:ascii="方正书宋_GBK" w:eastAsia="方正书宋_GBK"/>
              </w:rPr>
              <w:t>180.00</w:t>
            </w:r>
          </w:p>
        </w:tc>
        <w:tc>
          <w:tcPr>
            <w:tcW w:w="2175" w:type="dxa"/>
            <w:vAlign w:val="center"/>
          </w:tcPr>
          <w:p>
            <w:pPr>
              <w:spacing w:line="300" w:lineRule="exact"/>
              <w:jc w:val="left"/>
              <w:rPr>
                <w:rFonts w:ascii="方正书宋_GBK" w:eastAsia="方正书宋_GBK"/>
              </w:rPr>
            </w:pPr>
            <w:r>
              <w:rPr>
                <w:rFonts w:hint="eastAsia" w:ascii="方正书宋_GBK" w:eastAsia="方正书宋_GBK"/>
              </w:rPr>
              <w:t>会同有关部门协调解决我</w:t>
            </w:r>
          </w:p>
          <w:p>
            <w:pPr>
              <w:spacing w:line="300" w:lineRule="exact"/>
              <w:jc w:val="left"/>
              <w:rPr>
                <w:rFonts w:ascii="方正书宋_GBK" w:eastAsia="方正书宋_GBK"/>
              </w:rPr>
            </w:pPr>
            <w:r>
              <w:rPr>
                <w:rFonts w:hint="eastAsia" w:ascii="方正书宋_GBK" w:eastAsia="方正书宋_GBK"/>
              </w:rPr>
              <w:t>市非法金融活动，维护我市</w:t>
            </w:r>
          </w:p>
          <w:p>
            <w:pPr>
              <w:spacing w:line="300" w:lineRule="exact"/>
              <w:jc w:val="left"/>
              <w:rPr>
                <w:rFonts w:hint="eastAsia" w:ascii="方正书宋_GBK" w:eastAsia="方正书宋_GBK"/>
              </w:rPr>
            </w:pPr>
            <w:r>
              <w:rPr>
                <w:rFonts w:hint="eastAsia" w:ascii="方正书宋_GBK" w:eastAsia="方正书宋_GBK"/>
              </w:rPr>
              <w:t>金融稳定。</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根据国家、省关于奖励举报非法集资相关文件规定，我市将出台非法集资举报奖励机制，涉及奖励资金；拟定防范非法集资汇编，发放宣传册、媒体刊登费、接待上访人员，向广大群众发送短信（企讯费）等。</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维稳率</w:t>
            </w:r>
          </w:p>
        </w:tc>
        <w:tc>
          <w:tcPr>
            <w:tcW w:w="676" w:type="dxa"/>
            <w:vAlign w:val="center"/>
          </w:tcPr>
          <w:p>
            <w:pPr>
              <w:spacing w:line="300" w:lineRule="exact"/>
              <w:jc w:val="center"/>
              <w:rPr>
                <w:rFonts w:hint="eastAsia" w:ascii="方正书宋_GBK" w:eastAsia="方正书宋_GBK"/>
              </w:rPr>
            </w:pPr>
            <w:r>
              <w:rPr>
                <w:rFonts w:hint="eastAsia" w:ascii="方正书宋_GBK" w:eastAsia="方正书宋_GBK"/>
              </w:rPr>
              <w:t>稳定</w:t>
            </w:r>
          </w:p>
        </w:tc>
        <w:tc>
          <w:tcPr>
            <w:tcW w:w="449" w:type="dxa"/>
            <w:vAlign w:val="center"/>
          </w:tcPr>
          <w:p>
            <w:pPr>
              <w:spacing w:line="300" w:lineRule="exact"/>
              <w:jc w:val="center"/>
              <w:rPr>
                <w:rFonts w:hint="eastAsia" w:ascii="方正书宋_GBK" w:eastAsia="方正书宋_GBK"/>
              </w:rPr>
            </w:pPr>
            <w:r>
              <w:rPr>
                <w:rFonts w:hint="cs" w:ascii="方正书宋_GBK" w:eastAsia="方正书宋_GBK"/>
                <w:cs/>
              </w:rPr>
              <w:t>——</w:t>
            </w:r>
          </w:p>
        </w:tc>
        <w:tc>
          <w:tcPr>
            <w:tcW w:w="667" w:type="dxa"/>
            <w:vAlign w:val="center"/>
          </w:tcPr>
          <w:p>
            <w:pPr>
              <w:spacing w:line="300" w:lineRule="exact"/>
              <w:jc w:val="center"/>
              <w:rPr>
                <w:rFonts w:hint="eastAsia" w:ascii="方正书宋_GBK" w:eastAsia="方正书宋_GBK"/>
              </w:rPr>
            </w:pPr>
            <w:r>
              <w:rPr>
                <w:rFonts w:hint="cs" w:ascii="方正书宋_GBK" w:eastAsia="方正书宋_GBK"/>
                <w:cs/>
              </w:rPr>
              <w:t>——</w:t>
            </w:r>
          </w:p>
        </w:tc>
        <w:tc>
          <w:tcPr>
            <w:tcW w:w="574" w:type="dxa"/>
            <w:vAlign w:val="center"/>
          </w:tcPr>
          <w:p>
            <w:pPr>
              <w:spacing w:line="280" w:lineRule="exact"/>
              <w:jc w:val="center"/>
              <w:rPr>
                <w:rFonts w:hint="eastAsia" w:ascii="方正书宋_GBK" w:eastAsia="方正书宋_GBK"/>
              </w:rPr>
            </w:pPr>
            <w:r>
              <w:rPr>
                <w:rFonts w:hint="eastAsia" w:ascii="方正书宋_GBK" w:eastAsia="方正书宋_GBK"/>
              </w:rPr>
              <w:t>影响我市金融正常秩序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全市小额贷款公司监管工作</w:t>
            </w:r>
          </w:p>
        </w:tc>
        <w:tc>
          <w:tcPr>
            <w:tcW w:w="818" w:type="dxa"/>
            <w:vAlign w:val="center"/>
          </w:tcPr>
          <w:p>
            <w:pPr>
              <w:spacing w:line="300" w:lineRule="exact"/>
              <w:jc w:val="left"/>
              <w:rPr>
                <w:rFonts w:ascii="方正书宋_GBK" w:eastAsia="方正书宋_GBK"/>
              </w:rPr>
            </w:pP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加强对全市小额贷款公司的监督管理。</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根据省、市文件要求，需对全市小贷公司进行月检查、季巡查。同时每年不定期组织小贷公司座谈会、小贷行业运行分析会等专项工作会议。</w:t>
            </w:r>
          </w:p>
        </w:tc>
        <w:tc>
          <w:tcPr>
            <w:tcW w:w="676" w:type="dxa"/>
            <w:vAlign w:val="center"/>
          </w:tcPr>
          <w:p>
            <w:pPr>
              <w:spacing w:line="300" w:lineRule="exact"/>
              <w:jc w:val="left"/>
              <w:rPr>
                <w:rFonts w:hint="eastAsia" w:ascii="方正书宋_GBK" w:eastAsia="方正书宋_GBK"/>
              </w:rPr>
            </w:pPr>
            <w:r>
              <w:rPr>
                <w:rFonts w:hint="eastAsia" w:ascii="方正书宋_GBK" w:eastAsia="方正书宋_GBK"/>
              </w:rPr>
              <w:t>符合监管要求</w:t>
            </w:r>
          </w:p>
        </w:tc>
        <w:tc>
          <w:tcPr>
            <w:tcW w:w="676" w:type="dxa"/>
            <w:vAlign w:val="center"/>
          </w:tcPr>
          <w:p>
            <w:pPr>
              <w:spacing w:line="300" w:lineRule="exact"/>
              <w:jc w:val="center"/>
              <w:rPr>
                <w:rFonts w:hint="eastAsia" w:ascii="方正书宋_GBK" w:eastAsia="方正书宋_GBK"/>
              </w:rPr>
            </w:pPr>
            <w:r>
              <w:rPr>
                <w:rFonts w:ascii="方正书宋_GBK" w:eastAsia="方正书宋_GBK"/>
              </w:rPr>
              <w:t>90%</w:t>
            </w:r>
          </w:p>
        </w:tc>
        <w:tc>
          <w:tcPr>
            <w:tcW w:w="449" w:type="dxa"/>
            <w:vAlign w:val="center"/>
          </w:tcPr>
          <w:p>
            <w:pPr>
              <w:spacing w:line="300" w:lineRule="exact"/>
              <w:jc w:val="center"/>
              <w:rPr>
                <w:rFonts w:hint="cs" w:ascii="方正书宋_GBK" w:eastAsia="方正书宋_GBK"/>
                <w:cs/>
              </w:rPr>
            </w:pPr>
            <w:r>
              <w:rPr>
                <w:rFonts w:ascii="方正书宋_GBK" w:eastAsia="方正书宋_GBK"/>
              </w:rPr>
              <w:t>80%</w:t>
            </w:r>
          </w:p>
        </w:tc>
        <w:tc>
          <w:tcPr>
            <w:tcW w:w="667" w:type="dxa"/>
            <w:vAlign w:val="center"/>
          </w:tcPr>
          <w:p>
            <w:pPr>
              <w:spacing w:line="300" w:lineRule="exact"/>
              <w:jc w:val="center"/>
              <w:rPr>
                <w:rFonts w:hint="cs" w:ascii="方正书宋_GBK" w:eastAsia="方正书宋_GBK"/>
                <w:cs/>
              </w:rPr>
            </w:pPr>
            <w:r>
              <w:rPr>
                <w:rFonts w:ascii="方正书宋_GBK" w:eastAsia="方正书宋_GBK"/>
              </w:rPr>
              <w:t>70%</w:t>
            </w:r>
          </w:p>
        </w:tc>
        <w:tc>
          <w:tcPr>
            <w:tcW w:w="574" w:type="dxa"/>
            <w:vAlign w:val="center"/>
          </w:tcPr>
          <w:p>
            <w:pPr>
              <w:spacing w:line="300" w:lineRule="exact"/>
              <w:jc w:val="center"/>
              <w:rPr>
                <w:rFonts w:hint="eastAsia"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三、金融办政务管理</w:t>
            </w:r>
          </w:p>
        </w:tc>
        <w:tc>
          <w:tcPr>
            <w:tcW w:w="818" w:type="dxa"/>
            <w:vAlign w:val="center"/>
          </w:tcPr>
          <w:p>
            <w:pPr>
              <w:spacing w:line="300" w:lineRule="exact"/>
              <w:jc w:val="left"/>
              <w:rPr>
                <w:rFonts w:ascii="方正书宋_GBK" w:eastAsia="方正书宋_GBK"/>
              </w:rPr>
            </w:pPr>
            <w:r>
              <w:rPr>
                <w:rFonts w:ascii="方正书宋_GBK" w:eastAsia="方正书宋_GBK"/>
              </w:rPr>
              <w:t>8.50</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做好机关人员管理及保障工作，为充分发挥职能作用提供有效保障。</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加强机关自身建设，严格组织生活制度</w:t>
            </w:r>
            <w:r>
              <w:rPr>
                <w:rFonts w:ascii="方正书宋_GBK" w:eastAsia="方正书宋_GBK"/>
              </w:rPr>
              <w:t xml:space="preserve"> </w:t>
            </w:r>
            <w:r>
              <w:rPr>
                <w:rFonts w:hint="eastAsia" w:ascii="方正书宋_GBK" w:eastAsia="方正书宋_GBK"/>
              </w:rPr>
              <w:t>，丰富党建活动内容，做好党员管理、教育工作，充分发挥党组织的战斗堡垒作用和党员的先锋模范作用。</w:t>
            </w:r>
          </w:p>
        </w:tc>
        <w:tc>
          <w:tcPr>
            <w:tcW w:w="676" w:type="dxa"/>
            <w:vAlign w:val="center"/>
          </w:tcPr>
          <w:p>
            <w:pPr>
              <w:spacing w:line="300" w:lineRule="exact"/>
              <w:jc w:val="left"/>
              <w:rPr>
                <w:rFonts w:hint="eastAsia" w:ascii="方正书宋_GBK" w:eastAsia="方正书宋_GBK"/>
              </w:rPr>
            </w:pPr>
          </w:p>
        </w:tc>
        <w:tc>
          <w:tcPr>
            <w:tcW w:w="676" w:type="dxa"/>
            <w:vAlign w:val="center"/>
          </w:tcPr>
          <w:p>
            <w:pPr>
              <w:spacing w:line="300" w:lineRule="exact"/>
              <w:jc w:val="center"/>
              <w:rPr>
                <w:rFonts w:ascii="方正书宋_GBK" w:eastAsia="方正书宋_GBK"/>
              </w:rPr>
            </w:pPr>
          </w:p>
        </w:tc>
        <w:tc>
          <w:tcPr>
            <w:tcW w:w="449" w:type="dxa"/>
            <w:vAlign w:val="center"/>
          </w:tcPr>
          <w:p>
            <w:pPr>
              <w:spacing w:line="300" w:lineRule="exact"/>
              <w:jc w:val="center"/>
              <w:rPr>
                <w:rFonts w:ascii="方正书宋_GBK" w:eastAsia="方正书宋_GBK"/>
              </w:rPr>
            </w:pPr>
          </w:p>
        </w:tc>
        <w:tc>
          <w:tcPr>
            <w:tcW w:w="667" w:type="dxa"/>
            <w:vAlign w:val="center"/>
          </w:tcPr>
          <w:p>
            <w:pPr>
              <w:spacing w:line="300" w:lineRule="exact"/>
              <w:jc w:val="center"/>
              <w:rPr>
                <w:rFonts w:ascii="方正书宋_GBK" w:eastAsia="方正书宋_GBK"/>
              </w:rPr>
            </w:pPr>
          </w:p>
        </w:tc>
        <w:tc>
          <w:tcPr>
            <w:tcW w:w="574"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227" w:hRule="atLeast"/>
          <w:jc w:val="center"/>
        </w:trPr>
        <w:tc>
          <w:tcPr>
            <w:tcW w:w="907" w:type="dxa"/>
            <w:vAlign w:val="center"/>
          </w:tcPr>
          <w:p>
            <w:pPr>
              <w:spacing w:line="300" w:lineRule="exact"/>
              <w:jc w:val="left"/>
              <w:rPr>
                <w:rFonts w:hint="eastAsia" w:ascii="方正书宋_GBK" w:eastAsia="方正书宋_GBK"/>
                <w:b/>
              </w:rPr>
            </w:pPr>
            <w:r>
              <w:rPr>
                <w:rFonts w:hint="eastAsia" w:ascii="方正书宋_GBK" w:eastAsia="方正书宋_GBK"/>
                <w:b/>
              </w:rPr>
              <w:t>综合事务管理</w:t>
            </w:r>
          </w:p>
        </w:tc>
        <w:tc>
          <w:tcPr>
            <w:tcW w:w="818" w:type="dxa"/>
            <w:vAlign w:val="center"/>
          </w:tcPr>
          <w:p>
            <w:pPr>
              <w:spacing w:line="300" w:lineRule="exact"/>
              <w:jc w:val="left"/>
              <w:rPr>
                <w:rFonts w:ascii="方正书宋_GBK" w:eastAsia="方正书宋_GBK"/>
              </w:rPr>
            </w:pPr>
            <w:r>
              <w:rPr>
                <w:rFonts w:ascii="方正书宋_GBK" w:eastAsia="方正书宋_GBK"/>
              </w:rPr>
              <w:t>8.50</w:t>
            </w:r>
          </w:p>
        </w:tc>
        <w:tc>
          <w:tcPr>
            <w:tcW w:w="2175" w:type="dxa"/>
            <w:vAlign w:val="center"/>
          </w:tcPr>
          <w:p>
            <w:pPr>
              <w:spacing w:line="300" w:lineRule="exact"/>
              <w:jc w:val="left"/>
              <w:rPr>
                <w:rFonts w:hint="eastAsia" w:ascii="方正书宋_GBK" w:eastAsia="方正书宋_GBK"/>
              </w:rPr>
            </w:pPr>
            <w:r>
              <w:rPr>
                <w:rFonts w:hint="eastAsia" w:ascii="方正书宋_GBK" w:eastAsia="方正书宋_GBK"/>
              </w:rPr>
              <w:t>负责机关人事、劳资、行政后勤、财务、网站和资产管理工作；维护管理信访平台、非法集资监测预警平台、网络银企对接平台。</w:t>
            </w:r>
          </w:p>
        </w:tc>
        <w:tc>
          <w:tcPr>
            <w:tcW w:w="2175" w:type="dxa"/>
            <w:vAlign w:val="center"/>
          </w:tcPr>
          <w:p>
            <w:pPr>
              <w:spacing w:line="280" w:lineRule="exact"/>
              <w:jc w:val="left"/>
              <w:rPr>
                <w:rFonts w:hint="eastAsia" w:ascii="方正书宋_GBK" w:eastAsia="方正书宋_GBK"/>
              </w:rPr>
            </w:pPr>
            <w:r>
              <w:rPr>
                <w:rFonts w:hint="eastAsia" w:ascii="方正书宋_GBK" w:eastAsia="方正书宋_GBK"/>
              </w:rPr>
              <w:t>做好综合事务管理工作，定期维护信访专用平台和非法集资监测预警平台、网络银企对接平台，保障机构工作正常运转。</w:t>
            </w:r>
          </w:p>
        </w:tc>
        <w:tc>
          <w:tcPr>
            <w:tcW w:w="676" w:type="dxa"/>
            <w:vAlign w:val="center"/>
          </w:tcPr>
          <w:p>
            <w:pPr>
              <w:spacing w:line="280" w:lineRule="exact"/>
              <w:jc w:val="left"/>
              <w:rPr>
                <w:rFonts w:hint="eastAsia" w:ascii="方正书宋_GBK" w:eastAsia="方正书宋_GBK"/>
              </w:rPr>
            </w:pPr>
            <w:r>
              <w:rPr>
                <w:rFonts w:hint="eastAsia" w:ascii="方正书宋_GBK" w:eastAsia="方正书宋_GBK"/>
              </w:rPr>
              <w:t>做好综合事务管理工作，保障机构工作正常运转。</w:t>
            </w:r>
          </w:p>
        </w:tc>
        <w:tc>
          <w:tcPr>
            <w:tcW w:w="676" w:type="dxa"/>
            <w:vAlign w:val="center"/>
          </w:tcPr>
          <w:p>
            <w:pPr>
              <w:spacing w:line="280" w:lineRule="exact"/>
              <w:jc w:val="center"/>
              <w:rPr>
                <w:rFonts w:ascii="方正书宋_GBK" w:eastAsia="方正书宋_GBK"/>
              </w:rPr>
            </w:pPr>
            <w:r>
              <w:rPr>
                <w:rFonts w:hint="eastAsia" w:ascii="方正书宋_GBK" w:eastAsia="方正书宋_GBK"/>
              </w:rPr>
              <w:t>机关工作正常运转良好</w:t>
            </w:r>
          </w:p>
        </w:tc>
        <w:tc>
          <w:tcPr>
            <w:tcW w:w="449" w:type="dxa"/>
            <w:vAlign w:val="center"/>
          </w:tcPr>
          <w:p>
            <w:pPr>
              <w:spacing w:line="280" w:lineRule="exact"/>
              <w:jc w:val="center"/>
              <w:rPr>
                <w:rFonts w:ascii="方正书宋_GBK" w:eastAsia="方正书宋_GBK"/>
              </w:rPr>
            </w:pPr>
            <w:r>
              <w:rPr>
                <w:rFonts w:hint="eastAsia" w:ascii="方正书宋_GBK" w:eastAsia="方正书宋_GBK"/>
              </w:rPr>
              <w:t>机关工作运转一般</w:t>
            </w:r>
          </w:p>
        </w:tc>
        <w:tc>
          <w:tcPr>
            <w:tcW w:w="667" w:type="dxa"/>
            <w:vAlign w:val="center"/>
          </w:tcPr>
          <w:p>
            <w:pPr>
              <w:spacing w:line="280" w:lineRule="exact"/>
              <w:jc w:val="center"/>
              <w:rPr>
                <w:rFonts w:ascii="方正书宋_GBK" w:eastAsia="方正书宋_GBK"/>
              </w:rPr>
            </w:pPr>
            <w:r>
              <w:rPr>
                <w:rFonts w:hint="eastAsia" w:ascii="方正书宋_GBK" w:eastAsia="方正书宋_GBK"/>
              </w:rPr>
              <w:t>机关工作时有失误</w:t>
            </w:r>
          </w:p>
        </w:tc>
        <w:tc>
          <w:tcPr>
            <w:tcW w:w="574" w:type="dxa"/>
            <w:vAlign w:val="center"/>
          </w:tcPr>
          <w:p>
            <w:pPr>
              <w:spacing w:line="280" w:lineRule="exact"/>
              <w:jc w:val="center"/>
              <w:rPr>
                <w:rFonts w:ascii="方正书宋_GBK" w:eastAsia="方正书宋_GBK"/>
              </w:rPr>
            </w:pPr>
            <w:r>
              <w:rPr>
                <w:rFonts w:hint="eastAsia" w:ascii="方正书宋_GBK" w:eastAsia="方正书宋_GBK"/>
              </w:rPr>
              <w:t>机关工作出现重大失误</w:t>
            </w:r>
          </w:p>
        </w:tc>
      </w:tr>
    </w:tbl>
    <w:p>
      <w:pPr>
        <w:ind w:firstLine="640"/>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六、政府采购预算情况</w:t>
      </w:r>
    </w:p>
    <w:p>
      <w:pPr>
        <w:ind w:firstLine="640"/>
        <w:jc w:val="left"/>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2018年，我办安排政府采购预算46.5万元，具体情况详见下表。</w:t>
      </w:r>
    </w:p>
    <w:p>
      <w:pPr>
        <w:numPr>
          <w:ilvl w:val="0"/>
          <w:numId w:val="0"/>
        </w:numPr>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w:t>
      </w:r>
    </w:p>
    <w:tbl>
      <w:tblPr>
        <w:tblStyle w:val="3"/>
        <w:tblW w:w="93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1382"/>
        <w:gridCol w:w="616"/>
        <w:gridCol w:w="682"/>
        <w:gridCol w:w="846"/>
        <w:gridCol w:w="366"/>
        <w:gridCol w:w="614"/>
        <w:gridCol w:w="620"/>
        <w:gridCol w:w="620"/>
        <w:gridCol w:w="620"/>
        <w:gridCol w:w="620"/>
        <w:gridCol w:w="598"/>
        <w:gridCol w:w="611"/>
        <w:gridCol w:w="620"/>
        <w:gridCol w:w="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512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382</w:t>
            </w:r>
            <w:r>
              <w:rPr>
                <w:rFonts w:hint="eastAsia" w:ascii="方正小标宋_GBK" w:eastAsia="方正小标宋_GBK"/>
                <w:sz w:val="24"/>
              </w:rPr>
              <w:t>石家庄市金融工作办公室</w:t>
            </w:r>
          </w:p>
        </w:tc>
        <w:tc>
          <w:tcPr>
            <w:tcW w:w="4270"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99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682"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4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366"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62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4270"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382"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16"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682"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366" w:type="dxa"/>
            <w:vMerge w:val="continue"/>
            <w:vAlign w:val="center"/>
          </w:tcPr>
          <w:p>
            <w:pPr>
              <w:spacing w:line="300" w:lineRule="exact"/>
              <w:jc w:val="left"/>
              <w:outlineLvl w:val="0"/>
            </w:pPr>
          </w:p>
        </w:tc>
        <w:tc>
          <w:tcPr>
            <w:tcW w:w="614" w:type="dxa"/>
            <w:vMerge w:val="continue"/>
            <w:vAlign w:val="center"/>
          </w:tcPr>
          <w:p>
            <w:pPr>
              <w:spacing w:line="300" w:lineRule="exact"/>
              <w:jc w:val="left"/>
              <w:outlineLvl w:val="0"/>
            </w:pPr>
          </w:p>
        </w:tc>
        <w:tc>
          <w:tcPr>
            <w:tcW w:w="620" w:type="dxa"/>
            <w:vMerge w:val="continue"/>
            <w:vAlign w:val="center"/>
          </w:tcPr>
          <w:p>
            <w:pPr>
              <w:spacing w:line="300" w:lineRule="exact"/>
              <w:jc w:val="left"/>
              <w:outlineLvl w:val="0"/>
            </w:pPr>
          </w:p>
        </w:tc>
        <w:tc>
          <w:tcPr>
            <w:tcW w:w="620"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069"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581"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382" w:type="dxa"/>
            <w:vMerge w:val="continue"/>
            <w:vAlign w:val="center"/>
          </w:tcPr>
          <w:p>
            <w:pPr>
              <w:spacing w:line="300" w:lineRule="exact"/>
              <w:jc w:val="left"/>
              <w:outlineLvl w:val="0"/>
            </w:pPr>
          </w:p>
        </w:tc>
        <w:tc>
          <w:tcPr>
            <w:tcW w:w="616" w:type="dxa"/>
            <w:vMerge w:val="continue"/>
            <w:vAlign w:val="center"/>
          </w:tcPr>
          <w:p>
            <w:pPr>
              <w:spacing w:line="300" w:lineRule="exact"/>
              <w:jc w:val="left"/>
              <w:outlineLvl w:val="0"/>
            </w:pPr>
          </w:p>
        </w:tc>
        <w:tc>
          <w:tcPr>
            <w:tcW w:w="682"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366" w:type="dxa"/>
            <w:vMerge w:val="continue"/>
            <w:vAlign w:val="center"/>
          </w:tcPr>
          <w:p>
            <w:pPr>
              <w:spacing w:line="300" w:lineRule="exact"/>
              <w:jc w:val="left"/>
              <w:outlineLvl w:val="0"/>
            </w:pPr>
          </w:p>
        </w:tc>
        <w:tc>
          <w:tcPr>
            <w:tcW w:w="614" w:type="dxa"/>
            <w:vMerge w:val="continue"/>
            <w:vAlign w:val="center"/>
          </w:tcPr>
          <w:p>
            <w:pPr>
              <w:spacing w:line="300" w:lineRule="exact"/>
              <w:jc w:val="left"/>
              <w:outlineLvl w:val="0"/>
            </w:pPr>
          </w:p>
        </w:tc>
        <w:tc>
          <w:tcPr>
            <w:tcW w:w="620" w:type="dxa"/>
            <w:vMerge w:val="continue"/>
            <w:vAlign w:val="center"/>
          </w:tcPr>
          <w:p>
            <w:pPr>
              <w:spacing w:line="300" w:lineRule="exact"/>
              <w:jc w:val="left"/>
              <w:outlineLvl w:val="0"/>
            </w:pPr>
          </w:p>
        </w:tc>
        <w:tc>
          <w:tcPr>
            <w:tcW w:w="620" w:type="dxa"/>
            <w:vMerge w:val="continue"/>
            <w:vAlign w:val="center"/>
          </w:tcPr>
          <w:p>
            <w:pPr>
              <w:spacing w:line="300" w:lineRule="exact"/>
              <w:jc w:val="left"/>
              <w:outlineLvl w:val="0"/>
            </w:pPr>
          </w:p>
        </w:tc>
        <w:tc>
          <w:tcPr>
            <w:tcW w:w="620"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20"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598"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611"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62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581"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616" w:type="dxa"/>
            <w:vAlign w:val="center"/>
          </w:tcPr>
          <w:p>
            <w:pPr>
              <w:spacing w:line="300" w:lineRule="exact"/>
              <w:jc w:val="right"/>
              <w:rPr>
                <w:rFonts w:ascii="方正书宋_GBK" w:eastAsia="方正书宋_GBK"/>
                <w:b/>
              </w:rPr>
            </w:pPr>
          </w:p>
        </w:tc>
        <w:tc>
          <w:tcPr>
            <w:tcW w:w="682" w:type="dxa"/>
            <w:vAlign w:val="center"/>
          </w:tcPr>
          <w:p>
            <w:pPr>
              <w:spacing w:line="300" w:lineRule="exact"/>
              <w:jc w:val="left"/>
              <w:rPr>
                <w:rFonts w:ascii="方正书宋_GBK" w:eastAsia="方正书宋_GBK"/>
                <w:b/>
              </w:rPr>
            </w:pPr>
          </w:p>
        </w:tc>
        <w:tc>
          <w:tcPr>
            <w:tcW w:w="846" w:type="dxa"/>
            <w:vAlign w:val="center"/>
          </w:tcPr>
          <w:p>
            <w:pPr>
              <w:spacing w:line="300" w:lineRule="exact"/>
              <w:jc w:val="left"/>
              <w:rPr>
                <w:rFonts w:ascii="方正书宋_GBK" w:eastAsia="方正书宋_GBK"/>
                <w:b/>
              </w:rPr>
            </w:pPr>
          </w:p>
        </w:tc>
        <w:tc>
          <w:tcPr>
            <w:tcW w:w="366" w:type="dxa"/>
            <w:vAlign w:val="center"/>
          </w:tcPr>
          <w:p>
            <w:pPr>
              <w:spacing w:line="300" w:lineRule="exact"/>
              <w:jc w:val="left"/>
              <w:rPr>
                <w:rFonts w:ascii="方正书宋_GBK" w:eastAsia="方正书宋_GBK"/>
                <w:b/>
              </w:rPr>
            </w:pPr>
          </w:p>
        </w:tc>
        <w:tc>
          <w:tcPr>
            <w:tcW w:w="614"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598" w:type="dxa"/>
            <w:vAlign w:val="center"/>
          </w:tcPr>
          <w:p>
            <w:pPr>
              <w:spacing w:line="300" w:lineRule="exact"/>
              <w:jc w:val="right"/>
              <w:rPr>
                <w:rFonts w:ascii="方正书宋_GBK" w:eastAsia="方正书宋_GBK"/>
                <w:b/>
              </w:rPr>
            </w:pPr>
          </w:p>
        </w:tc>
        <w:tc>
          <w:tcPr>
            <w:tcW w:w="611"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p>
        </w:tc>
        <w:tc>
          <w:tcPr>
            <w:tcW w:w="5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center"/>
              <w:rPr>
                <w:rFonts w:hint="eastAsia" w:ascii="方正书宋_GBK" w:eastAsia="方正书宋_GBK"/>
                <w:b/>
              </w:rPr>
            </w:pPr>
            <w:r>
              <w:rPr>
                <w:rFonts w:hint="eastAsia" w:ascii="方正书宋_GBK" w:eastAsia="方正书宋_GBK"/>
                <w:b/>
              </w:rPr>
              <w:t>石家庄市金融工作办公室小计</w:t>
            </w:r>
          </w:p>
        </w:tc>
        <w:tc>
          <w:tcPr>
            <w:tcW w:w="616" w:type="dxa"/>
            <w:vAlign w:val="center"/>
          </w:tcPr>
          <w:p>
            <w:pPr>
              <w:spacing w:line="300" w:lineRule="exact"/>
              <w:jc w:val="right"/>
              <w:rPr>
                <w:rFonts w:ascii="方正书宋_GBK" w:eastAsia="方正书宋_GBK"/>
                <w:b/>
              </w:rPr>
            </w:pPr>
          </w:p>
        </w:tc>
        <w:tc>
          <w:tcPr>
            <w:tcW w:w="682" w:type="dxa"/>
            <w:vAlign w:val="center"/>
          </w:tcPr>
          <w:p>
            <w:pPr>
              <w:spacing w:line="300" w:lineRule="exact"/>
              <w:jc w:val="left"/>
              <w:rPr>
                <w:rFonts w:ascii="方正书宋_GBK" w:eastAsia="方正书宋_GBK"/>
                <w:b/>
              </w:rPr>
            </w:pPr>
          </w:p>
        </w:tc>
        <w:tc>
          <w:tcPr>
            <w:tcW w:w="846" w:type="dxa"/>
            <w:vAlign w:val="center"/>
          </w:tcPr>
          <w:p>
            <w:pPr>
              <w:spacing w:line="300" w:lineRule="exact"/>
              <w:jc w:val="left"/>
              <w:rPr>
                <w:rFonts w:ascii="方正书宋_GBK" w:eastAsia="方正书宋_GBK"/>
                <w:b/>
              </w:rPr>
            </w:pPr>
          </w:p>
        </w:tc>
        <w:tc>
          <w:tcPr>
            <w:tcW w:w="366" w:type="dxa"/>
            <w:vAlign w:val="center"/>
          </w:tcPr>
          <w:p>
            <w:pPr>
              <w:spacing w:line="300" w:lineRule="exact"/>
              <w:jc w:val="left"/>
              <w:rPr>
                <w:rFonts w:ascii="方正书宋_GBK" w:eastAsia="方正书宋_GBK"/>
                <w:b/>
              </w:rPr>
            </w:pPr>
          </w:p>
        </w:tc>
        <w:tc>
          <w:tcPr>
            <w:tcW w:w="614"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620" w:type="dxa"/>
            <w:vAlign w:val="center"/>
          </w:tcPr>
          <w:p>
            <w:pPr>
              <w:spacing w:line="300" w:lineRule="exact"/>
              <w:jc w:val="right"/>
              <w:rPr>
                <w:rFonts w:ascii="方正书宋_GBK" w:eastAsia="方正书宋_GBK"/>
                <w:b/>
              </w:rPr>
            </w:pPr>
            <w:r>
              <w:rPr>
                <w:rFonts w:ascii="方正书宋_GBK" w:eastAsia="方正书宋_GBK"/>
                <w:b/>
              </w:rPr>
              <w:t>46.50</w:t>
            </w:r>
          </w:p>
        </w:tc>
        <w:tc>
          <w:tcPr>
            <w:tcW w:w="598" w:type="dxa"/>
            <w:vAlign w:val="center"/>
          </w:tcPr>
          <w:p>
            <w:pPr>
              <w:spacing w:line="300" w:lineRule="exact"/>
              <w:jc w:val="right"/>
              <w:rPr>
                <w:rFonts w:ascii="方正书宋_GBK" w:eastAsia="方正书宋_GBK"/>
                <w:b/>
              </w:rPr>
            </w:pPr>
          </w:p>
        </w:tc>
        <w:tc>
          <w:tcPr>
            <w:tcW w:w="611" w:type="dxa"/>
            <w:vAlign w:val="center"/>
          </w:tcPr>
          <w:p>
            <w:pPr>
              <w:spacing w:line="300" w:lineRule="exact"/>
              <w:jc w:val="right"/>
              <w:rPr>
                <w:rFonts w:ascii="方正书宋_GBK" w:eastAsia="方正书宋_GBK"/>
                <w:b/>
              </w:rPr>
            </w:pPr>
          </w:p>
        </w:tc>
        <w:tc>
          <w:tcPr>
            <w:tcW w:w="620" w:type="dxa"/>
            <w:vAlign w:val="center"/>
          </w:tcPr>
          <w:p>
            <w:pPr>
              <w:spacing w:line="300" w:lineRule="exact"/>
              <w:jc w:val="right"/>
              <w:rPr>
                <w:rFonts w:ascii="方正书宋_GBK" w:eastAsia="方正书宋_GBK"/>
                <w:b/>
              </w:rPr>
            </w:pPr>
          </w:p>
        </w:tc>
        <w:tc>
          <w:tcPr>
            <w:tcW w:w="5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846" w:type="dxa"/>
            <w:vAlign w:val="center"/>
          </w:tcPr>
          <w:p>
            <w:pPr>
              <w:spacing w:line="300" w:lineRule="exact"/>
              <w:jc w:val="left"/>
              <w:rPr>
                <w:rFonts w:ascii="方正书宋_GBK" w:eastAsia="方正书宋_GBK"/>
              </w:rPr>
            </w:pPr>
            <w:r>
              <w:rPr>
                <w:rFonts w:ascii="方正书宋_GBK" w:eastAsia="方正书宋_GBK"/>
              </w:rPr>
              <w:t>A020101</w:t>
            </w:r>
          </w:p>
        </w:tc>
        <w:tc>
          <w:tcPr>
            <w:tcW w:w="366"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614" w:type="dxa"/>
            <w:vAlign w:val="center"/>
          </w:tcPr>
          <w:p>
            <w:pPr>
              <w:spacing w:line="300" w:lineRule="exact"/>
              <w:jc w:val="right"/>
              <w:rPr>
                <w:rFonts w:ascii="方正书宋_GBK" w:eastAsia="方正书宋_GBK"/>
              </w:rPr>
            </w:pPr>
            <w:r>
              <w:rPr>
                <w:rFonts w:ascii="方正书宋_GBK" w:eastAsia="方正书宋_GBK"/>
              </w:rPr>
              <w:t>3.00</w:t>
            </w:r>
          </w:p>
        </w:tc>
        <w:tc>
          <w:tcPr>
            <w:tcW w:w="620" w:type="dxa"/>
            <w:vAlign w:val="center"/>
          </w:tcPr>
          <w:p>
            <w:pPr>
              <w:spacing w:line="300" w:lineRule="exact"/>
              <w:jc w:val="right"/>
              <w:rPr>
                <w:rFonts w:ascii="方正书宋_GBK" w:eastAsia="方正书宋_GBK"/>
              </w:rPr>
            </w:pPr>
            <w:r>
              <w:rPr>
                <w:rFonts w:ascii="方正书宋_GBK" w:eastAsia="方正书宋_GBK"/>
              </w:rPr>
              <w:t>0.50</w:t>
            </w:r>
          </w:p>
        </w:tc>
        <w:tc>
          <w:tcPr>
            <w:tcW w:w="620" w:type="dxa"/>
            <w:vAlign w:val="center"/>
          </w:tcPr>
          <w:p>
            <w:pPr>
              <w:spacing w:line="300" w:lineRule="exact"/>
              <w:jc w:val="right"/>
              <w:rPr>
                <w:rFonts w:ascii="方正书宋_GBK" w:eastAsia="方正书宋_GBK"/>
              </w:rPr>
            </w:pPr>
            <w:r>
              <w:rPr>
                <w:rFonts w:ascii="方正书宋_GBK" w:eastAsia="方正书宋_GBK"/>
              </w:rPr>
              <w:t>1.50</w:t>
            </w:r>
          </w:p>
        </w:tc>
        <w:tc>
          <w:tcPr>
            <w:tcW w:w="620" w:type="dxa"/>
            <w:vAlign w:val="center"/>
          </w:tcPr>
          <w:p>
            <w:pPr>
              <w:spacing w:line="300" w:lineRule="exact"/>
              <w:jc w:val="right"/>
              <w:rPr>
                <w:rFonts w:ascii="方正书宋_GBK" w:eastAsia="方正书宋_GBK"/>
              </w:rPr>
            </w:pPr>
            <w:r>
              <w:rPr>
                <w:rFonts w:ascii="方正书宋_GBK" w:eastAsia="方正书宋_GBK"/>
              </w:rPr>
              <w:t>1.50</w:t>
            </w:r>
          </w:p>
        </w:tc>
        <w:tc>
          <w:tcPr>
            <w:tcW w:w="620" w:type="dxa"/>
            <w:vAlign w:val="center"/>
          </w:tcPr>
          <w:p>
            <w:pPr>
              <w:spacing w:line="300" w:lineRule="exact"/>
              <w:jc w:val="right"/>
              <w:rPr>
                <w:rFonts w:ascii="方正书宋_GBK" w:eastAsia="方正书宋_GBK"/>
              </w:rPr>
            </w:pPr>
            <w:r>
              <w:rPr>
                <w:rFonts w:ascii="方正书宋_GBK" w:eastAsia="方正书宋_GBK"/>
              </w:rPr>
              <w:t>1.50</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多功能一体机</w:t>
            </w:r>
          </w:p>
        </w:tc>
        <w:tc>
          <w:tcPr>
            <w:tcW w:w="846" w:type="dxa"/>
            <w:vAlign w:val="center"/>
          </w:tcPr>
          <w:p>
            <w:pPr>
              <w:spacing w:line="300" w:lineRule="exact"/>
              <w:jc w:val="left"/>
              <w:rPr>
                <w:rFonts w:ascii="方正书宋_GBK" w:eastAsia="方正书宋_GBK"/>
              </w:rPr>
            </w:pPr>
            <w:r>
              <w:rPr>
                <w:rFonts w:ascii="方正书宋_GBK" w:eastAsia="方正书宋_GBK"/>
              </w:rPr>
              <w:t>A020204</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台</w:t>
            </w:r>
          </w:p>
        </w:tc>
        <w:tc>
          <w:tcPr>
            <w:tcW w:w="614" w:type="dxa"/>
            <w:vAlign w:val="center"/>
          </w:tcPr>
          <w:p>
            <w:pPr>
              <w:spacing w:line="300" w:lineRule="exact"/>
              <w:jc w:val="right"/>
              <w:rPr>
                <w:rFonts w:ascii="方正书宋_GBK" w:eastAsia="方正书宋_GBK"/>
              </w:rPr>
            </w:pPr>
            <w:r>
              <w:rPr>
                <w:rFonts w:ascii="方正书宋_GBK" w:eastAsia="方正书宋_GBK"/>
              </w:rPr>
              <w:t>2.00</w:t>
            </w:r>
          </w:p>
        </w:tc>
        <w:tc>
          <w:tcPr>
            <w:tcW w:w="620" w:type="dxa"/>
            <w:vAlign w:val="center"/>
          </w:tcPr>
          <w:p>
            <w:pPr>
              <w:spacing w:line="300" w:lineRule="exact"/>
              <w:jc w:val="right"/>
              <w:rPr>
                <w:rFonts w:ascii="方正书宋_GBK" w:eastAsia="方正书宋_GBK"/>
              </w:rPr>
            </w:pPr>
            <w:r>
              <w:rPr>
                <w:rFonts w:ascii="方正书宋_GBK" w:eastAsia="方正书宋_GBK"/>
              </w:rPr>
              <w:t>0.30</w:t>
            </w:r>
          </w:p>
        </w:tc>
        <w:tc>
          <w:tcPr>
            <w:tcW w:w="620" w:type="dxa"/>
            <w:vAlign w:val="center"/>
          </w:tcPr>
          <w:p>
            <w:pPr>
              <w:spacing w:line="300" w:lineRule="exact"/>
              <w:jc w:val="right"/>
              <w:rPr>
                <w:rFonts w:ascii="方正书宋_GBK" w:eastAsia="方正书宋_GBK"/>
              </w:rPr>
            </w:pPr>
            <w:r>
              <w:rPr>
                <w:rFonts w:ascii="方正书宋_GBK" w:eastAsia="方正书宋_GBK"/>
              </w:rPr>
              <w:t>0.60</w:t>
            </w:r>
          </w:p>
        </w:tc>
        <w:tc>
          <w:tcPr>
            <w:tcW w:w="620" w:type="dxa"/>
            <w:vAlign w:val="center"/>
          </w:tcPr>
          <w:p>
            <w:pPr>
              <w:spacing w:line="300" w:lineRule="exact"/>
              <w:jc w:val="right"/>
              <w:rPr>
                <w:rFonts w:ascii="方正书宋_GBK" w:eastAsia="方正书宋_GBK"/>
              </w:rPr>
            </w:pPr>
            <w:r>
              <w:rPr>
                <w:rFonts w:ascii="方正书宋_GBK" w:eastAsia="方正书宋_GBK"/>
              </w:rPr>
              <w:t>0.60</w:t>
            </w:r>
          </w:p>
        </w:tc>
        <w:tc>
          <w:tcPr>
            <w:tcW w:w="620" w:type="dxa"/>
            <w:vAlign w:val="center"/>
          </w:tcPr>
          <w:p>
            <w:pPr>
              <w:spacing w:line="300" w:lineRule="exact"/>
              <w:jc w:val="right"/>
              <w:rPr>
                <w:rFonts w:ascii="方正书宋_GBK" w:eastAsia="方正书宋_GBK"/>
              </w:rPr>
            </w:pPr>
            <w:r>
              <w:rPr>
                <w:rFonts w:ascii="方正书宋_GBK" w:eastAsia="方正书宋_GBK"/>
              </w:rPr>
              <w:t>0.60</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打印设备</w:t>
            </w:r>
          </w:p>
        </w:tc>
        <w:tc>
          <w:tcPr>
            <w:tcW w:w="846" w:type="dxa"/>
            <w:vAlign w:val="center"/>
          </w:tcPr>
          <w:p>
            <w:pPr>
              <w:spacing w:line="300" w:lineRule="exact"/>
              <w:jc w:val="left"/>
              <w:rPr>
                <w:rFonts w:ascii="方正书宋_GBK" w:eastAsia="方正书宋_GBK"/>
              </w:rPr>
            </w:pPr>
            <w:r>
              <w:rPr>
                <w:rFonts w:ascii="方正书宋_GBK" w:eastAsia="方正书宋_GBK"/>
              </w:rPr>
              <w:t>A02010601</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台</w:t>
            </w:r>
          </w:p>
        </w:tc>
        <w:tc>
          <w:tcPr>
            <w:tcW w:w="614" w:type="dxa"/>
            <w:vAlign w:val="center"/>
          </w:tcPr>
          <w:p>
            <w:pPr>
              <w:spacing w:line="300" w:lineRule="exact"/>
              <w:jc w:val="right"/>
              <w:rPr>
                <w:rFonts w:ascii="方正书宋_GBK" w:eastAsia="方正书宋_GBK"/>
              </w:rPr>
            </w:pPr>
            <w:r>
              <w:rPr>
                <w:rFonts w:ascii="方正书宋_GBK" w:eastAsia="方正书宋_GBK"/>
              </w:rPr>
              <w:t>3.00</w:t>
            </w:r>
          </w:p>
        </w:tc>
        <w:tc>
          <w:tcPr>
            <w:tcW w:w="620" w:type="dxa"/>
            <w:vAlign w:val="center"/>
          </w:tcPr>
          <w:p>
            <w:pPr>
              <w:spacing w:line="300" w:lineRule="exact"/>
              <w:jc w:val="right"/>
              <w:rPr>
                <w:rFonts w:ascii="方正书宋_GBK" w:eastAsia="方正书宋_GBK"/>
              </w:rPr>
            </w:pPr>
            <w:r>
              <w:rPr>
                <w:rFonts w:ascii="方正书宋_GBK" w:eastAsia="方正书宋_GBK"/>
              </w:rPr>
              <w:t>0.15</w:t>
            </w:r>
          </w:p>
        </w:tc>
        <w:tc>
          <w:tcPr>
            <w:tcW w:w="620" w:type="dxa"/>
            <w:vAlign w:val="center"/>
          </w:tcPr>
          <w:p>
            <w:pPr>
              <w:spacing w:line="300" w:lineRule="exact"/>
              <w:jc w:val="right"/>
              <w:rPr>
                <w:rFonts w:ascii="方正书宋_GBK" w:eastAsia="方正书宋_GBK"/>
              </w:rPr>
            </w:pPr>
            <w:r>
              <w:rPr>
                <w:rFonts w:ascii="方正书宋_GBK" w:eastAsia="方正书宋_GBK"/>
              </w:rPr>
              <w:t>0.45</w:t>
            </w:r>
          </w:p>
        </w:tc>
        <w:tc>
          <w:tcPr>
            <w:tcW w:w="620" w:type="dxa"/>
            <w:vAlign w:val="center"/>
          </w:tcPr>
          <w:p>
            <w:pPr>
              <w:spacing w:line="300" w:lineRule="exact"/>
              <w:jc w:val="right"/>
              <w:rPr>
                <w:rFonts w:ascii="方正书宋_GBK" w:eastAsia="方正书宋_GBK"/>
              </w:rPr>
            </w:pPr>
            <w:r>
              <w:rPr>
                <w:rFonts w:ascii="方正书宋_GBK" w:eastAsia="方正书宋_GBK"/>
              </w:rPr>
              <w:t>0.45</w:t>
            </w:r>
          </w:p>
        </w:tc>
        <w:tc>
          <w:tcPr>
            <w:tcW w:w="620" w:type="dxa"/>
            <w:vAlign w:val="center"/>
          </w:tcPr>
          <w:p>
            <w:pPr>
              <w:spacing w:line="300" w:lineRule="exact"/>
              <w:jc w:val="right"/>
              <w:rPr>
                <w:rFonts w:ascii="方正书宋_GBK" w:eastAsia="方正书宋_GBK"/>
              </w:rPr>
            </w:pPr>
            <w:r>
              <w:rPr>
                <w:rFonts w:ascii="方正书宋_GBK" w:eastAsia="方正书宋_GBK"/>
              </w:rPr>
              <w:t>0.45</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846" w:type="dxa"/>
            <w:vAlign w:val="center"/>
          </w:tcPr>
          <w:p>
            <w:pPr>
              <w:spacing w:line="300" w:lineRule="exact"/>
              <w:jc w:val="left"/>
              <w:rPr>
                <w:rFonts w:ascii="方正书宋_GBK" w:eastAsia="方正书宋_GBK"/>
              </w:rPr>
            </w:pPr>
            <w:r>
              <w:rPr>
                <w:rFonts w:ascii="方正书宋_GBK" w:eastAsia="方正书宋_GBK"/>
              </w:rPr>
              <w:t>A0202</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张</w:t>
            </w:r>
          </w:p>
        </w:tc>
        <w:tc>
          <w:tcPr>
            <w:tcW w:w="614" w:type="dxa"/>
            <w:vAlign w:val="center"/>
          </w:tcPr>
          <w:p>
            <w:pPr>
              <w:spacing w:line="300" w:lineRule="exact"/>
              <w:jc w:val="right"/>
              <w:rPr>
                <w:rFonts w:ascii="方正书宋_GBK" w:eastAsia="方正书宋_GBK"/>
              </w:rPr>
            </w:pPr>
            <w:r>
              <w:rPr>
                <w:rFonts w:ascii="方正书宋_GBK" w:eastAsia="方正书宋_GBK"/>
              </w:rPr>
              <w:t>3.00</w:t>
            </w:r>
          </w:p>
        </w:tc>
        <w:tc>
          <w:tcPr>
            <w:tcW w:w="620" w:type="dxa"/>
            <w:vAlign w:val="center"/>
          </w:tcPr>
          <w:p>
            <w:pPr>
              <w:spacing w:line="300" w:lineRule="exact"/>
              <w:jc w:val="right"/>
              <w:rPr>
                <w:rFonts w:ascii="方正书宋_GBK" w:eastAsia="方正书宋_GBK"/>
              </w:rPr>
            </w:pPr>
            <w:r>
              <w:rPr>
                <w:rFonts w:ascii="方正书宋_GBK" w:eastAsia="方正书宋_GBK"/>
              </w:rPr>
              <w:t>0.08</w:t>
            </w:r>
          </w:p>
        </w:tc>
        <w:tc>
          <w:tcPr>
            <w:tcW w:w="620" w:type="dxa"/>
            <w:vAlign w:val="center"/>
          </w:tcPr>
          <w:p>
            <w:pPr>
              <w:spacing w:line="300" w:lineRule="exact"/>
              <w:jc w:val="right"/>
              <w:rPr>
                <w:rFonts w:ascii="方正书宋_GBK" w:eastAsia="方正书宋_GBK"/>
              </w:rPr>
            </w:pPr>
            <w:r>
              <w:rPr>
                <w:rFonts w:ascii="方正书宋_GBK" w:eastAsia="方正书宋_GBK"/>
              </w:rPr>
              <w:t>0.24</w:t>
            </w:r>
          </w:p>
        </w:tc>
        <w:tc>
          <w:tcPr>
            <w:tcW w:w="620" w:type="dxa"/>
            <w:vAlign w:val="center"/>
          </w:tcPr>
          <w:p>
            <w:pPr>
              <w:spacing w:line="300" w:lineRule="exact"/>
              <w:jc w:val="right"/>
              <w:rPr>
                <w:rFonts w:ascii="方正书宋_GBK" w:eastAsia="方正书宋_GBK"/>
              </w:rPr>
            </w:pPr>
            <w:r>
              <w:rPr>
                <w:rFonts w:ascii="方正书宋_GBK" w:eastAsia="方正书宋_GBK"/>
              </w:rPr>
              <w:t>0.24</w:t>
            </w:r>
          </w:p>
        </w:tc>
        <w:tc>
          <w:tcPr>
            <w:tcW w:w="620" w:type="dxa"/>
            <w:vAlign w:val="center"/>
          </w:tcPr>
          <w:p>
            <w:pPr>
              <w:spacing w:line="300" w:lineRule="exact"/>
              <w:jc w:val="right"/>
              <w:rPr>
                <w:rFonts w:ascii="方正书宋_GBK" w:eastAsia="方正书宋_GBK"/>
              </w:rPr>
            </w:pPr>
            <w:r>
              <w:rPr>
                <w:rFonts w:ascii="方正书宋_GBK" w:eastAsia="方正书宋_GBK"/>
              </w:rPr>
              <w:t>0.24</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1373" w:hRule="atLeast"/>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846" w:type="dxa"/>
            <w:vAlign w:val="center"/>
          </w:tcPr>
          <w:p>
            <w:pPr>
              <w:spacing w:line="300" w:lineRule="exact"/>
              <w:jc w:val="left"/>
              <w:rPr>
                <w:rFonts w:ascii="方正书宋_GBK" w:eastAsia="方正书宋_GBK"/>
              </w:rPr>
            </w:pPr>
            <w:r>
              <w:rPr>
                <w:rFonts w:ascii="方正书宋_GBK" w:eastAsia="方正书宋_GBK"/>
              </w:rPr>
              <w:t>A0202</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组</w:t>
            </w:r>
          </w:p>
        </w:tc>
        <w:tc>
          <w:tcPr>
            <w:tcW w:w="614" w:type="dxa"/>
            <w:vAlign w:val="center"/>
          </w:tcPr>
          <w:p>
            <w:pPr>
              <w:spacing w:line="300" w:lineRule="exact"/>
              <w:jc w:val="right"/>
              <w:rPr>
                <w:rFonts w:ascii="方正书宋_GBK" w:eastAsia="方正书宋_GBK"/>
              </w:rPr>
            </w:pPr>
            <w:r>
              <w:rPr>
                <w:rFonts w:ascii="方正书宋_GBK" w:eastAsia="方正书宋_GBK"/>
              </w:rPr>
              <w:t>3.00</w:t>
            </w:r>
          </w:p>
        </w:tc>
        <w:tc>
          <w:tcPr>
            <w:tcW w:w="620" w:type="dxa"/>
            <w:vAlign w:val="center"/>
          </w:tcPr>
          <w:p>
            <w:pPr>
              <w:spacing w:line="300" w:lineRule="exact"/>
              <w:jc w:val="right"/>
              <w:rPr>
                <w:rFonts w:ascii="方正书宋_GBK" w:eastAsia="方正书宋_GBK"/>
              </w:rPr>
            </w:pPr>
            <w:r>
              <w:rPr>
                <w:rFonts w:ascii="方正书宋_GBK" w:eastAsia="方正书宋_GBK"/>
              </w:rPr>
              <w:t>0.06</w:t>
            </w:r>
          </w:p>
        </w:tc>
        <w:tc>
          <w:tcPr>
            <w:tcW w:w="620" w:type="dxa"/>
            <w:vAlign w:val="center"/>
          </w:tcPr>
          <w:p>
            <w:pPr>
              <w:spacing w:line="300" w:lineRule="exact"/>
              <w:jc w:val="right"/>
              <w:rPr>
                <w:rFonts w:ascii="方正书宋_GBK" w:eastAsia="方正书宋_GBK"/>
              </w:rPr>
            </w:pPr>
            <w:r>
              <w:rPr>
                <w:rFonts w:ascii="方正书宋_GBK" w:eastAsia="方正书宋_GBK"/>
              </w:rPr>
              <w:t>0.18</w:t>
            </w:r>
          </w:p>
        </w:tc>
        <w:tc>
          <w:tcPr>
            <w:tcW w:w="620" w:type="dxa"/>
            <w:vAlign w:val="center"/>
          </w:tcPr>
          <w:p>
            <w:pPr>
              <w:spacing w:line="300" w:lineRule="exact"/>
              <w:jc w:val="right"/>
              <w:rPr>
                <w:rFonts w:ascii="方正书宋_GBK" w:eastAsia="方正书宋_GBK"/>
              </w:rPr>
            </w:pPr>
            <w:r>
              <w:rPr>
                <w:rFonts w:ascii="方正书宋_GBK" w:eastAsia="方正书宋_GBK"/>
              </w:rPr>
              <w:t>0.18</w:t>
            </w:r>
          </w:p>
        </w:tc>
        <w:tc>
          <w:tcPr>
            <w:tcW w:w="620" w:type="dxa"/>
            <w:vAlign w:val="center"/>
          </w:tcPr>
          <w:p>
            <w:pPr>
              <w:spacing w:line="300" w:lineRule="exact"/>
              <w:jc w:val="right"/>
              <w:rPr>
                <w:rFonts w:ascii="方正书宋_GBK" w:eastAsia="方正书宋_GBK"/>
              </w:rPr>
            </w:pPr>
            <w:r>
              <w:rPr>
                <w:rFonts w:ascii="方正书宋_GBK" w:eastAsia="方正书宋_GBK"/>
              </w:rPr>
              <w:t>0.18</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846" w:type="dxa"/>
            <w:vAlign w:val="center"/>
          </w:tcPr>
          <w:p>
            <w:pPr>
              <w:spacing w:line="300" w:lineRule="exact"/>
              <w:jc w:val="left"/>
              <w:rPr>
                <w:rFonts w:ascii="方正书宋_GBK" w:eastAsia="方正书宋_GBK"/>
              </w:rPr>
            </w:pPr>
            <w:r>
              <w:rPr>
                <w:rFonts w:ascii="方正书宋_GBK" w:eastAsia="方正书宋_GBK"/>
              </w:rPr>
              <w:t>A0202</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组</w:t>
            </w:r>
          </w:p>
        </w:tc>
        <w:tc>
          <w:tcPr>
            <w:tcW w:w="614" w:type="dxa"/>
            <w:vAlign w:val="center"/>
          </w:tcPr>
          <w:p>
            <w:pPr>
              <w:spacing w:line="300" w:lineRule="exact"/>
              <w:jc w:val="right"/>
              <w:rPr>
                <w:rFonts w:ascii="方正书宋_GBK" w:eastAsia="方正书宋_GBK"/>
              </w:rPr>
            </w:pPr>
            <w:r>
              <w:rPr>
                <w:rFonts w:ascii="方正书宋_GBK" w:eastAsia="方正书宋_GBK"/>
              </w:rPr>
              <w:t>1.00</w:t>
            </w:r>
          </w:p>
        </w:tc>
        <w:tc>
          <w:tcPr>
            <w:tcW w:w="620" w:type="dxa"/>
            <w:vAlign w:val="center"/>
          </w:tcPr>
          <w:p>
            <w:pPr>
              <w:spacing w:line="300" w:lineRule="exact"/>
              <w:jc w:val="right"/>
              <w:rPr>
                <w:rFonts w:ascii="方正书宋_GBK" w:eastAsia="方正书宋_GBK"/>
              </w:rPr>
            </w:pPr>
            <w:r>
              <w:rPr>
                <w:rFonts w:ascii="方正书宋_GBK" w:eastAsia="方正书宋_GBK"/>
              </w:rPr>
              <w:t>0.31</w:t>
            </w:r>
          </w:p>
        </w:tc>
        <w:tc>
          <w:tcPr>
            <w:tcW w:w="620" w:type="dxa"/>
            <w:vAlign w:val="center"/>
          </w:tcPr>
          <w:p>
            <w:pPr>
              <w:spacing w:line="300" w:lineRule="exact"/>
              <w:jc w:val="right"/>
              <w:rPr>
                <w:rFonts w:ascii="方正书宋_GBK" w:eastAsia="方正书宋_GBK"/>
              </w:rPr>
            </w:pPr>
            <w:r>
              <w:rPr>
                <w:rFonts w:ascii="方正书宋_GBK" w:eastAsia="方正书宋_GBK"/>
              </w:rPr>
              <w:t>0.31</w:t>
            </w:r>
          </w:p>
        </w:tc>
        <w:tc>
          <w:tcPr>
            <w:tcW w:w="620" w:type="dxa"/>
            <w:vAlign w:val="center"/>
          </w:tcPr>
          <w:p>
            <w:pPr>
              <w:spacing w:line="300" w:lineRule="exact"/>
              <w:jc w:val="right"/>
              <w:rPr>
                <w:rFonts w:ascii="方正书宋_GBK" w:eastAsia="方正书宋_GBK"/>
              </w:rPr>
            </w:pPr>
            <w:r>
              <w:rPr>
                <w:rFonts w:ascii="方正书宋_GBK" w:eastAsia="方正书宋_GBK"/>
              </w:rPr>
              <w:t>0.31</w:t>
            </w:r>
          </w:p>
        </w:tc>
        <w:tc>
          <w:tcPr>
            <w:tcW w:w="620" w:type="dxa"/>
            <w:vAlign w:val="center"/>
          </w:tcPr>
          <w:p>
            <w:pPr>
              <w:spacing w:line="300" w:lineRule="exact"/>
              <w:jc w:val="right"/>
              <w:rPr>
                <w:rFonts w:ascii="方正书宋_GBK" w:eastAsia="方正书宋_GBK"/>
              </w:rPr>
            </w:pPr>
            <w:r>
              <w:rPr>
                <w:rFonts w:ascii="方正书宋_GBK" w:eastAsia="方正书宋_GBK"/>
              </w:rPr>
              <w:t>0.31</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846" w:type="dxa"/>
            <w:vAlign w:val="center"/>
          </w:tcPr>
          <w:p>
            <w:pPr>
              <w:spacing w:line="300" w:lineRule="exact"/>
              <w:jc w:val="left"/>
              <w:rPr>
                <w:rFonts w:ascii="方正书宋_GBK" w:eastAsia="方正书宋_GBK"/>
              </w:rPr>
            </w:pPr>
            <w:r>
              <w:rPr>
                <w:rFonts w:ascii="方正书宋_GBK" w:eastAsia="方正书宋_GBK"/>
              </w:rPr>
              <w:t>A0202</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把</w:t>
            </w:r>
          </w:p>
        </w:tc>
        <w:tc>
          <w:tcPr>
            <w:tcW w:w="614" w:type="dxa"/>
            <w:vAlign w:val="center"/>
          </w:tcPr>
          <w:p>
            <w:pPr>
              <w:spacing w:line="300" w:lineRule="exact"/>
              <w:jc w:val="right"/>
              <w:rPr>
                <w:rFonts w:ascii="方正书宋_GBK" w:eastAsia="方正书宋_GBK"/>
              </w:rPr>
            </w:pPr>
            <w:r>
              <w:rPr>
                <w:rFonts w:ascii="方正书宋_GBK" w:eastAsia="方正书宋_GBK"/>
              </w:rPr>
              <w:t>3.00</w:t>
            </w:r>
          </w:p>
        </w:tc>
        <w:tc>
          <w:tcPr>
            <w:tcW w:w="620" w:type="dxa"/>
            <w:vAlign w:val="center"/>
          </w:tcPr>
          <w:p>
            <w:pPr>
              <w:spacing w:line="300" w:lineRule="exact"/>
              <w:jc w:val="right"/>
              <w:rPr>
                <w:rFonts w:ascii="方正书宋_GBK" w:eastAsia="方正书宋_GBK"/>
              </w:rPr>
            </w:pPr>
            <w:r>
              <w:rPr>
                <w:rFonts w:ascii="方正书宋_GBK" w:eastAsia="方正书宋_GBK"/>
              </w:rPr>
              <w:t>0.07</w:t>
            </w:r>
          </w:p>
        </w:tc>
        <w:tc>
          <w:tcPr>
            <w:tcW w:w="620" w:type="dxa"/>
            <w:vAlign w:val="center"/>
          </w:tcPr>
          <w:p>
            <w:pPr>
              <w:spacing w:line="300" w:lineRule="exact"/>
              <w:jc w:val="right"/>
              <w:rPr>
                <w:rFonts w:ascii="方正书宋_GBK" w:eastAsia="方正书宋_GBK"/>
              </w:rPr>
            </w:pPr>
            <w:r>
              <w:rPr>
                <w:rFonts w:ascii="方正书宋_GBK" w:eastAsia="方正书宋_GBK"/>
              </w:rPr>
              <w:t>0.21</w:t>
            </w:r>
          </w:p>
        </w:tc>
        <w:tc>
          <w:tcPr>
            <w:tcW w:w="620" w:type="dxa"/>
            <w:vAlign w:val="center"/>
          </w:tcPr>
          <w:p>
            <w:pPr>
              <w:spacing w:line="300" w:lineRule="exact"/>
              <w:jc w:val="right"/>
              <w:rPr>
                <w:rFonts w:ascii="方正书宋_GBK" w:eastAsia="方正书宋_GBK"/>
              </w:rPr>
            </w:pPr>
            <w:r>
              <w:rPr>
                <w:rFonts w:ascii="方正书宋_GBK" w:eastAsia="方正书宋_GBK"/>
              </w:rPr>
              <w:t>0.21</w:t>
            </w:r>
          </w:p>
        </w:tc>
        <w:tc>
          <w:tcPr>
            <w:tcW w:w="620" w:type="dxa"/>
            <w:vAlign w:val="center"/>
          </w:tcPr>
          <w:p>
            <w:pPr>
              <w:spacing w:line="300" w:lineRule="exact"/>
              <w:jc w:val="right"/>
              <w:rPr>
                <w:rFonts w:ascii="方正书宋_GBK" w:eastAsia="方正书宋_GBK"/>
              </w:rPr>
            </w:pPr>
            <w:r>
              <w:rPr>
                <w:rFonts w:ascii="方正书宋_GBK" w:eastAsia="方正书宋_GBK"/>
              </w:rPr>
              <w:t>0.21</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办公设备</w:t>
            </w:r>
          </w:p>
        </w:tc>
        <w:tc>
          <w:tcPr>
            <w:tcW w:w="846" w:type="dxa"/>
            <w:vAlign w:val="center"/>
          </w:tcPr>
          <w:p>
            <w:pPr>
              <w:spacing w:line="300" w:lineRule="exact"/>
              <w:jc w:val="left"/>
              <w:rPr>
                <w:rFonts w:ascii="方正书宋_GBK" w:eastAsia="方正书宋_GBK"/>
              </w:rPr>
            </w:pPr>
            <w:r>
              <w:rPr>
                <w:rFonts w:ascii="方正书宋_GBK" w:eastAsia="方正书宋_GBK"/>
              </w:rPr>
              <w:t>A0202</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把</w:t>
            </w:r>
          </w:p>
        </w:tc>
        <w:tc>
          <w:tcPr>
            <w:tcW w:w="614" w:type="dxa"/>
            <w:vAlign w:val="center"/>
          </w:tcPr>
          <w:p>
            <w:pPr>
              <w:spacing w:line="300" w:lineRule="exact"/>
              <w:jc w:val="right"/>
              <w:rPr>
                <w:rFonts w:ascii="方正书宋_GBK" w:eastAsia="方正书宋_GBK"/>
              </w:rPr>
            </w:pPr>
            <w:r>
              <w:rPr>
                <w:rFonts w:ascii="方正书宋_GBK" w:eastAsia="方正书宋_GBK"/>
              </w:rPr>
              <w:t>1.00</w:t>
            </w:r>
          </w:p>
        </w:tc>
        <w:tc>
          <w:tcPr>
            <w:tcW w:w="620" w:type="dxa"/>
            <w:vAlign w:val="center"/>
          </w:tcPr>
          <w:p>
            <w:pPr>
              <w:spacing w:line="300" w:lineRule="exact"/>
              <w:jc w:val="right"/>
              <w:rPr>
                <w:rFonts w:ascii="方正书宋_GBK" w:eastAsia="方正书宋_GBK"/>
              </w:rPr>
            </w:pPr>
            <w:r>
              <w:rPr>
                <w:rFonts w:ascii="方正书宋_GBK" w:eastAsia="方正书宋_GBK"/>
              </w:rPr>
              <w:t>0.25</w:t>
            </w:r>
          </w:p>
        </w:tc>
        <w:tc>
          <w:tcPr>
            <w:tcW w:w="620" w:type="dxa"/>
            <w:vAlign w:val="center"/>
          </w:tcPr>
          <w:p>
            <w:pPr>
              <w:spacing w:line="300" w:lineRule="exact"/>
              <w:jc w:val="right"/>
              <w:rPr>
                <w:rFonts w:ascii="方正书宋_GBK" w:eastAsia="方正书宋_GBK"/>
              </w:rPr>
            </w:pPr>
            <w:r>
              <w:rPr>
                <w:rFonts w:ascii="方正书宋_GBK" w:eastAsia="方正书宋_GBK"/>
              </w:rPr>
              <w:t>0.25</w:t>
            </w:r>
          </w:p>
        </w:tc>
        <w:tc>
          <w:tcPr>
            <w:tcW w:w="620" w:type="dxa"/>
            <w:vAlign w:val="center"/>
          </w:tcPr>
          <w:p>
            <w:pPr>
              <w:spacing w:line="300" w:lineRule="exact"/>
              <w:jc w:val="right"/>
              <w:rPr>
                <w:rFonts w:ascii="方正书宋_GBK" w:eastAsia="方正书宋_GBK"/>
              </w:rPr>
            </w:pPr>
            <w:r>
              <w:rPr>
                <w:rFonts w:ascii="方正书宋_GBK" w:eastAsia="方正书宋_GBK"/>
              </w:rPr>
              <w:t>0.25</w:t>
            </w:r>
          </w:p>
        </w:tc>
        <w:tc>
          <w:tcPr>
            <w:tcW w:w="620" w:type="dxa"/>
            <w:vAlign w:val="center"/>
          </w:tcPr>
          <w:p>
            <w:pPr>
              <w:spacing w:line="300" w:lineRule="exact"/>
              <w:jc w:val="right"/>
              <w:rPr>
                <w:rFonts w:ascii="方正书宋_GBK" w:eastAsia="方正书宋_GBK"/>
              </w:rPr>
            </w:pPr>
            <w:r>
              <w:rPr>
                <w:rFonts w:ascii="方正书宋_GBK" w:eastAsia="方正书宋_GBK"/>
              </w:rPr>
              <w:t>0.25</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pPr>
              <w:spacing w:line="300" w:lineRule="exact"/>
              <w:jc w:val="right"/>
              <w:rPr>
                <w:rFonts w:ascii="方正书宋_GBK" w:eastAsia="方正书宋_GBK"/>
              </w:rPr>
            </w:pPr>
            <w:r>
              <w:rPr>
                <w:rFonts w:ascii="方正书宋_GBK" w:eastAsia="方正书宋_GBK"/>
              </w:rPr>
              <w:t>8.50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计算机设备及软件</w:t>
            </w:r>
          </w:p>
        </w:tc>
        <w:tc>
          <w:tcPr>
            <w:tcW w:w="846" w:type="dxa"/>
            <w:vAlign w:val="center"/>
          </w:tcPr>
          <w:p>
            <w:pPr>
              <w:spacing w:line="300" w:lineRule="exact"/>
              <w:jc w:val="left"/>
              <w:rPr>
                <w:rFonts w:ascii="方正书宋_GBK" w:eastAsia="方正书宋_GBK"/>
              </w:rPr>
            </w:pPr>
            <w:r>
              <w:rPr>
                <w:rFonts w:ascii="方正书宋_GBK" w:eastAsia="方正书宋_GBK"/>
              </w:rPr>
              <w:t>A0201</w:t>
            </w:r>
          </w:p>
        </w:tc>
        <w:tc>
          <w:tcPr>
            <w:tcW w:w="366" w:type="dxa"/>
            <w:vAlign w:val="center"/>
          </w:tcPr>
          <w:p>
            <w:pPr>
              <w:spacing w:line="300" w:lineRule="exact"/>
              <w:jc w:val="left"/>
              <w:rPr>
                <w:rFonts w:hint="eastAsia" w:ascii="方正书宋_GBK" w:eastAsia="方正书宋_GBK"/>
              </w:rPr>
            </w:pPr>
            <w:r>
              <w:rPr>
                <w:rFonts w:hint="eastAsia" w:ascii="方正书宋_GBK" w:eastAsia="方正书宋_GBK"/>
              </w:rPr>
              <w:t>件</w:t>
            </w:r>
          </w:p>
        </w:tc>
        <w:tc>
          <w:tcPr>
            <w:tcW w:w="614" w:type="dxa"/>
            <w:vAlign w:val="center"/>
          </w:tcPr>
          <w:p>
            <w:pPr>
              <w:spacing w:line="300" w:lineRule="exact"/>
              <w:jc w:val="right"/>
              <w:rPr>
                <w:rFonts w:ascii="方正书宋_GBK" w:eastAsia="方正书宋_GBK"/>
              </w:rPr>
            </w:pPr>
            <w:r>
              <w:rPr>
                <w:rFonts w:ascii="方正书宋_GBK" w:eastAsia="方正书宋_GBK"/>
              </w:rPr>
              <w:t>28.00</w:t>
            </w:r>
          </w:p>
        </w:tc>
        <w:tc>
          <w:tcPr>
            <w:tcW w:w="620" w:type="dxa"/>
            <w:vAlign w:val="center"/>
          </w:tcPr>
          <w:p>
            <w:pPr>
              <w:spacing w:line="300" w:lineRule="exact"/>
              <w:jc w:val="right"/>
              <w:rPr>
                <w:rFonts w:ascii="方正书宋_GBK" w:eastAsia="方正书宋_GBK"/>
              </w:rPr>
            </w:pPr>
            <w:r>
              <w:rPr>
                <w:rFonts w:ascii="方正书宋_GBK" w:eastAsia="方正书宋_GBK"/>
              </w:rPr>
              <w:t>0.17</w:t>
            </w:r>
          </w:p>
        </w:tc>
        <w:tc>
          <w:tcPr>
            <w:tcW w:w="620" w:type="dxa"/>
            <w:vAlign w:val="center"/>
          </w:tcPr>
          <w:p>
            <w:pPr>
              <w:spacing w:line="300" w:lineRule="exact"/>
              <w:jc w:val="right"/>
              <w:rPr>
                <w:rFonts w:ascii="方正书宋_GBK" w:eastAsia="方正书宋_GBK"/>
              </w:rPr>
            </w:pPr>
            <w:r>
              <w:rPr>
                <w:rFonts w:ascii="方正书宋_GBK" w:eastAsia="方正书宋_GBK"/>
              </w:rPr>
              <w:t>4.76</w:t>
            </w:r>
          </w:p>
        </w:tc>
        <w:tc>
          <w:tcPr>
            <w:tcW w:w="620" w:type="dxa"/>
            <w:vAlign w:val="center"/>
          </w:tcPr>
          <w:p>
            <w:pPr>
              <w:spacing w:line="300" w:lineRule="exact"/>
              <w:jc w:val="right"/>
              <w:rPr>
                <w:rFonts w:ascii="方正书宋_GBK" w:eastAsia="方正书宋_GBK"/>
              </w:rPr>
            </w:pPr>
            <w:r>
              <w:rPr>
                <w:rFonts w:ascii="方正书宋_GBK" w:eastAsia="方正书宋_GBK"/>
              </w:rPr>
              <w:t>4.76</w:t>
            </w:r>
          </w:p>
        </w:tc>
        <w:tc>
          <w:tcPr>
            <w:tcW w:w="620" w:type="dxa"/>
            <w:vAlign w:val="center"/>
          </w:tcPr>
          <w:p>
            <w:pPr>
              <w:spacing w:line="300" w:lineRule="exact"/>
              <w:jc w:val="right"/>
              <w:rPr>
                <w:rFonts w:ascii="方正书宋_GBK" w:eastAsia="方正书宋_GBK"/>
              </w:rPr>
            </w:pPr>
            <w:r>
              <w:rPr>
                <w:rFonts w:ascii="方正书宋_GBK" w:eastAsia="方正书宋_GBK"/>
              </w:rPr>
              <w:t>4.76</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382" w:type="dxa"/>
            <w:vAlign w:val="center"/>
          </w:tcPr>
          <w:p>
            <w:pPr>
              <w:spacing w:line="300" w:lineRule="exact"/>
              <w:jc w:val="left"/>
              <w:rPr>
                <w:rFonts w:hint="eastAsia" w:ascii="方正书宋_GBK" w:eastAsia="方正书宋_GBK"/>
              </w:rPr>
            </w:pPr>
            <w:r>
              <w:rPr>
                <w:rFonts w:hint="eastAsia" w:ascii="方正书宋_GBK" w:eastAsia="方正书宋_GBK"/>
              </w:rPr>
              <w:t>金融活动治理经费</w:t>
            </w:r>
          </w:p>
        </w:tc>
        <w:tc>
          <w:tcPr>
            <w:tcW w:w="616" w:type="dxa"/>
            <w:vAlign w:val="center"/>
          </w:tcPr>
          <w:p>
            <w:pPr>
              <w:spacing w:line="300" w:lineRule="exact"/>
              <w:jc w:val="right"/>
              <w:rPr>
                <w:rFonts w:ascii="方正书宋_GBK" w:eastAsia="方正书宋_GBK"/>
              </w:rPr>
            </w:pPr>
            <w:r>
              <w:rPr>
                <w:rFonts w:ascii="方正书宋_GBK" w:eastAsia="方正书宋_GBK"/>
              </w:rPr>
              <w:t>40.00</w:t>
            </w:r>
          </w:p>
        </w:tc>
        <w:tc>
          <w:tcPr>
            <w:tcW w:w="682" w:type="dxa"/>
            <w:vAlign w:val="center"/>
          </w:tcPr>
          <w:p>
            <w:pPr>
              <w:spacing w:line="300" w:lineRule="exact"/>
              <w:jc w:val="left"/>
              <w:rPr>
                <w:rFonts w:hint="eastAsia" w:ascii="方正书宋_GBK" w:eastAsia="方正书宋_GBK"/>
              </w:rPr>
            </w:pPr>
            <w:r>
              <w:rPr>
                <w:rFonts w:hint="eastAsia" w:ascii="方正书宋_GBK" w:eastAsia="方正书宋_GBK"/>
              </w:rPr>
              <w:t>审计服务</w:t>
            </w:r>
          </w:p>
        </w:tc>
        <w:tc>
          <w:tcPr>
            <w:tcW w:w="846" w:type="dxa"/>
            <w:vAlign w:val="center"/>
          </w:tcPr>
          <w:p>
            <w:pPr>
              <w:spacing w:line="300" w:lineRule="exact"/>
              <w:jc w:val="left"/>
              <w:rPr>
                <w:rFonts w:ascii="方正书宋_GBK" w:eastAsia="方正书宋_GBK"/>
              </w:rPr>
            </w:pPr>
            <w:r>
              <w:rPr>
                <w:rFonts w:ascii="方正书宋_GBK" w:eastAsia="方正书宋_GBK"/>
              </w:rPr>
              <w:t>C0803</w:t>
            </w:r>
          </w:p>
        </w:tc>
        <w:tc>
          <w:tcPr>
            <w:tcW w:w="366" w:type="dxa"/>
            <w:vAlign w:val="center"/>
          </w:tcPr>
          <w:p>
            <w:pPr>
              <w:spacing w:line="300" w:lineRule="exact"/>
              <w:jc w:val="left"/>
              <w:rPr>
                <w:rFonts w:hint="eastAsia" w:ascii="方正书宋_GBK" w:eastAsia="方正书宋_GBK"/>
              </w:rPr>
            </w:pPr>
          </w:p>
        </w:tc>
        <w:tc>
          <w:tcPr>
            <w:tcW w:w="614" w:type="dxa"/>
            <w:vAlign w:val="center"/>
          </w:tcPr>
          <w:p>
            <w:pPr>
              <w:spacing w:line="300" w:lineRule="exact"/>
              <w:jc w:val="right"/>
              <w:rPr>
                <w:rFonts w:ascii="方正书宋_GBK" w:eastAsia="方正书宋_GBK"/>
              </w:rPr>
            </w:pPr>
            <w:r>
              <w:rPr>
                <w:rFonts w:ascii="方正书宋_GBK" w:eastAsia="方正书宋_GBK"/>
              </w:rPr>
              <w:t>1.00</w:t>
            </w:r>
          </w:p>
        </w:tc>
        <w:tc>
          <w:tcPr>
            <w:tcW w:w="620" w:type="dxa"/>
            <w:vAlign w:val="center"/>
          </w:tcPr>
          <w:p>
            <w:pPr>
              <w:spacing w:line="300" w:lineRule="exact"/>
              <w:jc w:val="right"/>
              <w:rPr>
                <w:rFonts w:ascii="方正书宋_GBK" w:eastAsia="方正书宋_GBK"/>
              </w:rPr>
            </w:pPr>
            <w:r>
              <w:rPr>
                <w:rFonts w:ascii="方正书宋_GBK" w:eastAsia="方正书宋_GBK"/>
              </w:rPr>
              <w:t>38.00</w:t>
            </w:r>
          </w:p>
        </w:tc>
        <w:tc>
          <w:tcPr>
            <w:tcW w:w="620" w:type="dxa"/>
            <w:vAlign w:val="center"/>
          </w:tcPr>
          <w:p>
            <w:pPr>
              <w:spacing w:line="300" w:lineRule="exact"/>
              <w:jc w:val="right"/>
              <w:rPr>
                <w:rFonts w:ascii="方正书宋_GBK" w:eastAsia="方正书宋_GBK"/>
              </w:rPr>
            </w:pPr>
            <w:r>
              <w:rPr>
                <w:rFonts w:ascii="方正书宋_GBK" w:eastAsia="方正书宋_GBK"/>
              </w:rPr>
              <w:t>38.00</w:t>
            </w:r>
          </w:p>
        </w:tc>
        <w:tc>
          <w:tcPr>
            <w:tcW w:w="620" w:type="dxa"/>
            <w:vAlign w:val="center"/>
          </w:tcPr>
          <w:p>
            <w:pPr>
              <w:spacing w:line="300" w:lineRule="exact"/>
              <w:jc w:val="right"/>
              <w:rPr>
                <w:rFonts w:ascii="方正书宋_GBK" w:eastAsia="方正书宋_GBK"/>
              </w:rPr>
            </w:pPr>
            <w:r>
              <w:rPr>
                <w:rFonts w:ascii="方正书宋_GBK" w:eastAsia="方正书宋_GBK"/>
              </w:rPr>
              <w:t>38.00</w:t>
            </w:r>
          </w:p>
        </w:tc>
        <w:tc>
          <w:tcPr>
            <w:tcW w:w="620" w:type="dxa"/>
            <w:vAlign w:val="center"/>
          </w:tcPr>
          <w:p>
            <w:pPr>
              <w:spacing w:line="300" w:lineRule="exact"/>
              <w:jc w:val="right"/>
              <w:rPr>
                <w:rFonts w:ascii="方正书宋_GBK" w:eastAsia="方正书宋_GBK"/>
              </w:rPr>
            </w:pPr>
            <w:r>
              <w:rPr>
                <w:rFonts w:ascii="方正书宋_GBK" w:eastAsia="方正书宋_GBK"/>
              </w:rPr>
              <w:t>38.00</w:t>
            </w:r>
          </w:p>
        </w:tc>
        <w:tc>
          <w:tcPr>
            <w:tcW w:w="598" w:type="dxa"/>
            <w:vAlign w:val="center"/>
          </w:tcPr>
          <w:p>
            <w:pPr>
              <w:spacing w:line="300" w:lineRule="exact"/>
              <w:jc w:val="right"/>
              <w:rPr>
                <w:rFonts w:ascii="方正书宋_GBK" w:eastAsia="方正书宋_GBK"/>
              </w:rPr>
            </w:pPr>
          </w:p>
        </w:tc>
        <w:tc>
          <w:tcPr>
            <w:tcW w:w="611" w:type="dxa"/>
            <w:vAlign w:val="center"/>
          </w:tcPr>
          <w:p>
            <w:pPr>
              <w:spacing w:line="300" w:lineRule="exact"/>
              <w:jc w:val="right"/>
              <w:rPr>
                <w:rFonts w:ascii="方正书宋_GBK" w:eastAsia="方正书宋_GBK"/>
              </w:rPr>
            </w:pPr>
          </w:p>
        </w:tc>
        <w:tc>
          <w:tcPr>
            <w:tcW w:w="620" w:type="dxa"/>
            <w:vAlign w:val="center"/>
          </w:tcPr>
          <w:p>
            <w:pPr>
              <w:spacing w:line="300" w:lineRule="exact"/>
              <w:jc w:val="right"/>
              <w:rPr>
                <w:rFonts w:ascii="方正书宋_GBK" w:eastAsia="方正书宋_GBK"/>
              </w:rPr>
            </w:pPr>
          </w:p>
        </w:tc>
        <w:tc>
          <w:tcPr>
            <w:tcW w:w="581" w:type="dxa"/>
            <w:vAlign w:val="center"/>
          </w:tcPr>
          <w:p>
            <w:pPr>
              <w:spacing w:line="300" w:lineRule="exact"/>
              <w:jc w:val="right"/>
              <w:rPr>
                <w:rFonts w:ascii="方正书宋_GBK" w:eastAsia="方正书宋_GBK"/>
              </w:rPr>
            </w:pPr>
          </w:p>
        </w:tc>
      </w:tr>
    </w:tbl>
    <w:p>
      <w:pPr>
        <w:numPr>
          <w:ilvl w:val="0"/>
          <w:numId w:val="0"/>
        </w:numPr>
        <w:jc w:val="left"/>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七、国有资产信息</w:t>
      </w:r>
    </w:p>
    <w:p>
      <w:pPr>
        <w:ind w:firstLine="640" w:firstLineChars="200"/>
        <w:rPr>
          <w:rFonts w:hint="eastAsia" w:ascii="仿宋_GB2312" w:hAnsi="黑体" w:eastAsia="仿宋_GB2312" w:cs="Times New Roman"/>
          <w:sz w:val="32"/>
          <w:szCs w:val="32"/>
        </w:rPr>
      </w:pPr>
      <w:r>
        <w:rPr>
          <w:rFonts w:hint="eastAsia" w:ascii="仿宋_GB2312" w:hAnsi="黑体" w:eastAsia="仿宋_GB2312" w:cs="Times New Roman"/>
          <w:sz w:val="32"/>
          <w:szCs w:val="32"/>
          <w:lang w:eastAsia="zh-CN"/>
        </w:rPr>
        <w:t>石家庄市</w:t>
      </w:r>
      <w:r>
        <w:rPr>
          <w:rFonts w:hint="eastAsia" w:ascii="仿宋_GB2312" w:hAnsi="黑体" w:eastAsia="仿宋_GB2312" w:cs="Times New Roman"/>
          <w:sz w:val="32"/>
          <w:szCs w:val="32"/>
        </w:rPr>
        <w:t>金融工作办公室上年末固定资产金额为</w:t>
      </w:r>
      <w:r>
        <w:rPr>
          <w:rFonts w:hint="eastAsia" w:ascii="仿宋_GB2312" w:hAnsi="黑体" w:eastAsia="仿宋_GB2312" w:cs="Times New Roman"/>
          <w:sz w:val="32"/>
          <w:szCs w:val="32"/>
          <w:lang w:val="en-US" w:eastAsia="zh-CN"/>
        </w:rPr>
        <w:t>8.739</w:t>
      </w:r>
      <w:r>
        <w:rPr>
          <w:rFonts w:hint="eastAsia" w:ascii="仿宋_GB2312" w:hAnsi="黑体" w:eastAsia="仿宋_GB2312" w:cs="Times New Roman"/>
          <w:sz w:val="32"/>
          <w:szCs w:val="32"/>
        </w:rPr>
        <w:t>万元（</w:t>
      </w:r>
      <w:r>
        <w:rPr>
          <w:rFonts w:hint="eastAsia" w:ascii="Times New Roman" w:hAnsi="Times New Roman" w:eastAsia="方正仿宋_GBK" w:cs="Times New Roman"/>
          <w:sz w:val="32"/>
          <w:szCs w:val="32"/>
        </w:rPr>
        <w:t>详见下表），</w:t>
      </w:r>
      <w:r>
        <w:rPr>
          <w:rFonts w:hint="eastAsia" w:ascii="仿宋_GB2312" w:hAnsi="黑体" w:eastAsia="仿宋_GB2312" w:cs="Times New Roman"/>
          <w:sz w:val="32"/>
          <w:szCs w:val="32"/>
        </w:rPr>
        <w:t>本年度拟购置固定资产</w:t>
      </w:r>
      <w:r>
        <w:rPr>
          <w:rFonts w:hint="eastAsia" w:ascii="Times New Roman" w:hAnsi="Times New Roman" w:eastAsia="方正仿宋_GBK" w:cs="Times New Roman"/>
          <w:sz w:val="32"/>
          <w:szCs w:val="32"/>
        </w:rPr>
        <w:t>总额为</w:t>
      </w:r>
      <w:r>
        <w:rPr>
          <w:rFonts w:hint="eastAsia" w:ascii="Times New Roman" w:hAnsi="Times New Roman" w:eastAsia="方正仿宋_GBK" w:cs="Times New Roman"/>
          <w:sz w:val="32"/>
          <w:szCs w:val="32"/>
          <w:lang w:val="en-US" w:eastAsia="zh-CN"/>
        </w:rPr>
        <w:t>8.</w:t>
      </w:r>
      <w:r>
        <w:rPr>
          <w:rFonts w:hint="eastAsia" w:ascii="Times New Roman" w:hAnsi="Times New Roman" w:eastAsia="方正仿宋_GBK" w:cs="Times New Roman"/>
          <w:sz w:val="32"/>
          <w:szCs w:val="32"/>
        </w:rPr>
        <w:t>50万元，</w:t>
      </w:r>
      <w:r>
        <w:rPr>
          <w:rFonts w:hint="eastAsia" w:ascii="仿宋_GB2312" w:hAnsi="黑体" w:eastAsia="仿宋_GB2312" w:cs="Times New Roman"/>
          <w:sz w:val="32"/>
          <w:szCs w:val="32"/>
        </w:rPr>
        <w:t>主要为计算机设备、打印设备、办公家具等，已列入政府采购预算，详见政府采购预算表。</w:t>
      </w:r>
    </w:p>
    <w:tbl>
      <w:tblPr>
        <w:tblStyle w:val="3"/>
        <w:tblW w:w="8500" w:type="dxa"/>
        <w:tblInd w:w="93" w:type="dxa"/>
        <w:tblLayout w:type="fixed"/>
        <w:tblCellMar>
          <w:top w:w="0" w:type="dxa"/>
          <w:left w:w="108" w:type="dxa"/>
          <w:bottom w:w="0" w:type="dxa"/>
          <w:right w:w="108" w:type="dxa"/>
        </w:tblCellMar>
      </w:tblPr>
      <w:tblGrid>
        <w:gridCol w:w="3748"/>
        <w:gridCol w:w="1680"/>
        <w:gridCol w:w="2771"/>
        <w:gridCol w:w="301"/>
      </w:tblGrid>
      <w:tr>
        <w:tblPrEx>
          <w:tblLayout w:type="fixed"/>
          <w:tblCellMar>
            <w:top w:w="0" w:type="dxa"/>
            <w:left w:w="108" w:type="dxa"/>
            <w:bottom w:w="0" w:type="dxa"/>
            <w:right w:w="108" w:type="dxa"/>
          </w:tblCellMar>
        </w:tblPrEx>
        <w:trPr>
          <w:trHeight w:val="790" w:hRule="atLeast"/>
        </w:trPr>
        <w:tc>
          <w:tcPr>
            <w:tcW w:w="8500" w:type="dxa"/>
            <w:gridSpan w:val="4"/>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659" w:hRule="atLeast"/>
        </w:trPr>
        <w:tc>
          <w:tcPr>
            <w:tcW w:w="5428"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w:t>
            </w:r>
            <w:r>
              <w:rPr>
                <w:rFonts w:hint="eastAsia" w:ascii="宋体" w:hAnsi="宋体" w:cs="宋体"/>
                <w:kern w:val="0"/>
                <w:sz w:val="22"/>
                <w:lang w:eastAsia="zh-CN"/>
              </w:rPr>
              <w:t>石家庄市</w:t>
            </w:r>
            <w:r>
              <w:rPr>
                <w:rFonts w:hint="eastAsia" w:ascii="宋体" w:hAnsi="宋体" w:cs="宋体"/>
                <w:kern w:val="0"/>
                <w:sz w:val="22"/>
              </w:rPr>
              <w:t>金融工作办公室</w:t>
            </w:r>
          </w:p>
        </w:tc>
        <w:tc>
          <w:tcPr>
            <w:tcW w:w="3072"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截止时间：2017年12月31日  </w:t>
            </w: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6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2771"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2771" w:type="dxa"/>
            <w:tcBorders>
              <w:top w:val="nil"/>
              <w:left w:val="nil"/>
              <w:bottom w:val="single" w:color="auto" w:sz="4" w:space="0"/>
              <w:right w:val="single" w:color="auto" w:sz="4" w:space="0"/>
            </w:tcBorders>
            <w:vAlign w:val="center"/>
          </w:tcPr>
          <w:p>
            <w:pPr>
              <w:widowControl/>
              <w:jc w:val="center"/>
              <w:rPr>
                <w:rFonts w:hint="eastAsia" w:ascii="宋体" w:hAnsi="宋体" w:cs="宋体" w:eastAsiaTheme="minorEastAsia"/>
                <w:kern w:val="0"/>
                <w:sz w:val="22"/>
                <w:lang w:val="en-US" w:eastAsia="zh-CN"/>
              </w:rPr>
            </w:pPr>
            <w:r>
              <w:rPr>
                <w:rFonts w:hint="eastAsia" w:ascii="宋体" w:hAnsi="宋体" w:cs="宋体"/>
                <w:kern w:val="0"/>
                <w:sz w:val="22"/>
                <w:lang w:val="en-US" w:eastAsia="zh-CN"/>
              </w:rPr>
              <w:t>8.739</w:t>
            </w: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2771"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2771"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2771" w:type="dxa"/>
            <w:tcBorders>
              <w:top w:val="nil"/>
              <w:left w:val="nil"/>
              <w:bottom w:val="single" w:color="auto" w:sz="4" w:space="0"/>
              <w:right w:val="single" w:color="auto" w:sz="4" w:space="0"/>
            </w:tcBorders>
            <w:vAlign w:val="center"/>
          </w:tcPr>
          <w:p>
            <w:pPr>
              <w:widowControl/>
              <w:jc w:val="center"/>
              <w:rPr>
                <w:rFonts w:hint="eastAsia" w:ascii="宋体" w:hAnsi="宋体" w:cs="宋体"/>
                <w:kern w:val="0"/>
                <w:sz w:val="22"/>
              </w:rPr>
            </w:pPr>
          </w:p>
        </w:tc>
      </w:tr>
      <w:tr>
        <w:tblPrEx>
          <w:tblLayout w:type="fixed"/>
          <w:tblCellMar>
            <w:top w:w="0" w:type="dxa"/>
            <w:left w:w="108" w:type="dxa"/>
            <w:bottom w:w="0" w:type="dxa"/>
            <w:right w:w="108" w:type="dxa"/>
          </w:tblCellMar>
        </w:tblPrEx>
        <w:trPr>
          <w:gridAfter w:val="1"/>
          <w:wAfter w:w="301" w:type="dxa"/>
          <w:trHeight w:val="744" w:hRule="atLeast"/>
        </w:trPr>
        <w:tc>
          <w:tcPr>
            <w:tcW w:w="3748"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3、单价在20万元以上的设备</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2771" w:type="dxa"/>
            <w:tcBorders>
              <w:top w:val="nil"/>
              <w:left w:val="nil"/>
              <w:bottom w:val="single" w:color="auto" w:sz="4" w:space="0"/>
              <w:right w:val="single" w:color="auto" w:sz="4" w:space="0"/>
            </w:tcBorders>
            <w:vAlign w:val="center"/>
          </w:tcPr>
          <w:p>
            <w:pPr>
              <w:widowControl/>
              <w:jc w:val="center"/>
              <w:rPr>
                <w:rFonts w:hint="eastAsia" w:ascii="宋体" w:hAnsi="宋体" w:cs="宋体"/>
                <w:kern w:val="0"/>
                <w:sz w:val="22"/>
              </w:rPr>
            </w:pPr>
          </w:p>
        </w:tc>
      </w:tr>
      <w:tr>
        <w:tblPrEx>
          <w:tblLayout w:type="fixed"/>
          <w:tblCellMar>
            <w:top w:w="0" w:type="dxa"/>
            <w:left w:w="108" w:type="dxa"/>
            <w:bottom w:w="0" w:type="dxa"/>
            <w:right w:w="108" w:type="dxa"/>
          </w:tblCellMar>
        </w:tblPrEx>
        <w:trPr>
          <w:gridAfter w:val="1"/>
          <w:wAfter w:w="301" w:type="dxa"/>
          <w:trHeight w:val="766" w:hRule="atLeast"/>
        </w:trPr>
        <w:tc>
          <w:tcPr>
            <w:tcW w:w="3748"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680"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2771" w:type="dxa"/>
            <w:tcBorders>
              <w:top w:val="nil"/>
              <w:left w:val="nil"/>
              <w:bottom w:val="single" w:color="auto" w:sz="4" w:space="0"/>
              <w:right w:val="single" w:color="auto" w:sz="4" w:space="0"/>
            </w:tcBorders>
            <w:vAlign w:val="center"/>
          </w:tcPr>
          <w:p>
            <w:pPr>
              <w:widowControl/>
              <w:jc w:val="center"/>
              <w:rPr>
                <w:rFonts w:hint="eastAsia" w:ascii="宋体" w:hAnsi="宋体" w:cs="宋体" w:eastAsiaTheme="minorEastAsia"/>
                <w:kern w:val="0"/>
                <w:sz w:val="22"/>
                <w:lang w:eastAsia="zh-CN"/>
              </w:rPr>
            </w:pPr>
            <w:r>
              <w:rPr>
                <w:rFonts w:hint="eastAsia" w:ascii="宋体" w:hAnsi="宋体" w:cs="宋体"/>
                <w:kern w:val="0"/>
                <w:sz w:val="22"/>
                <w:lang w:val="en-US" w:eastAsia="zh-CN"/>
              </w:rPr>
              <w:t>8.739</w:t>
            </w:r>
          </w:p>
        </w:tc>
      </w:tr>
    </w:tbl>
    <w:p>
      <w:pPr>
        <w:ind w:firstLine="640" w:firstLineChars="200"/>
        <w:jc w:val="both"/>
        <w:outlineLvl w:val="0"/>
        <w:rPr>
          <w:rFonts w:hint="eastAsia" w:ascii="Times New Roman" w:hAnsi="Times New Roman" w:eastAsia="仿宋_GB2312" w:cs="Times New Roman"/>
          <w:b w:val="0"/>
          <w:bCs/>
          <w:sz w:val="32"/>
          <w:szCs w:val="32"/>
          <w:lang w:val="en-US" w:eastAsia="zh-CN"/>
        </w:rPr>
      </w:pPr>
      <w:r>
        <w:rPr>
          <w:rFonts w:hint="eastAsia" w:ascii="黑体" w:hAnsi="黑体" w:eastAsia="黑体" w:cs="黑体"/>
          <w:b w:val="0"/>
          <w:bCs/>
          <w:sz w:val="32"/>
          <w:szCs w:val="32"/>
          <w:lang w:val="en-US" w:eastAsia="zh-CN"/>
        </w:rPr>
        <w:t>八、名词解释</w:t>
      </w:r>
    </w:p>
    <w:p>
      <w:pPr>
        <w:adjustRightInd w:val="0"/>
        <w:snapToGrid w:val="0"/>
        <w:spacing w:line="600" w:lineRule="exact"/>
        <w:ind w:firstLine="640"/>
        <w:jc w:val="left"/>
        <w:rPr>
          <w:rFonts w:hint="eastAsia" w:ascii="Times New Roman" w:hAnsi="Times New Roman" w:eastAsia="仿宋_GB2312" w:cs="Times New Roman"/>
          <w:b w:val="0"/>
          <w:bCs/>
          <w:sz w:val="32"/>
          <w:szCs w:val="32"/>
          <w:lang w:val="en-US" w:eastAsia="zh-CN"/>
        </w:rPr>
      </w:pPr>
      <w:r>
        <w:rPr>
          <w:rFonts w:hint="eastAsia" w:ascii="仿宋_GB2312" w:hAnsi="仿宋_GB2312" w:eastAsia="仿宋_GB2312" w:cs="仿宋_GB2312"/>
          <w:b w:val="0"/>
          <w:bCs/>
          <w:sz w:val="32"/>
          <w:szCs w:val="32"/>
          <w:lang w:val="en-US" w:eastAsia="zh-CN"/>
        </w:rPr>
        <w:t>1.</w:t>
      </w:r>
      <w:r>
        <w:rPr>
          <w:rFonts w:hint="eastAsia" w:ascii="Times New Roman" w:hAnsi="Times New Roman" w:eastAsia="仿宋_GB2312" w:cs="Times New Roman"/>
          <w:b w:val="0"/>
          <w:bCs/>
          <w:sz w:val="32"/>
          <w:szCs w:val="32"/>
          <w:lang w:val="en-US" w:eastAsia="zh-CN"/>
        </w:rPr>
        <w:t>一般公共预算拨款收入：是指当年财政拨付的资金。</w:t>
      </w:r>
    </w:p>
    <w:p>
      <w:pPr>
        <w:adjustRightInd w:val="0"/>
        <w:snapToGrid w:val="0"/>
        <w:spacing w:line="600" w:lineRule="exact"/>
        <w:ind w:firstLine="640"/>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2.基本支出：指为保障机构正常运转，完成日常工作任务而发生的人员支出和公用支出。</w:t>
      </w:r>
    </w:p>
    <w:p>
      <w:pPr>
        <w:adjustRightInd w:val="0"/>
        <w:snapToGrid w:val="0"/>
        <w:spacing w:line="600" w:lineRule="exact"/>
        <w:ind w:firstLine="640"/>
        <w:jc w:val="left"/>
        <w:rPr>
          <w:rFonts w:hint="eastAsia" w:ascii="Times New Roman" w:hAnsi="Times New Roman" w:eastAsia="仿宋_GB2312" w:cs="Times New Roman"/>
          <w:b w:val="0"/>
          <w:bCs/>
          <w:sz w:val="32"/>
          <w:szCs w:val="32"/>
          <w:lang w:val="en-US" w:eastAsia="zh-CN"/>
        </w:rPr>
      </w:pPr>
      <w:r>
        <w:rPr>
          <w:rFonts w:hint="eastAsia" w:ascii="仿宋_GB2312" w:hAnsi="仿宋_GB2312" w:eastAsia="仿宋_GB2312" w:cs="仿宋_GB2312"/>
          <w:b w:val="0"/>
          <w:bCs/>
          <w:sz w:val="32"/>
          <w:szCs w:val="32"/>
          <w:lang w:val="en-US" w:eastAsia="zh-CN"/>
        </w:rPr>
        <w:t>3.</w:t>
      </w:r>
      <w:r>
        <w:rPr>
          <w:rFonts w:hint="eastAsia" w:ascii="Times New Roman" w:hAnsi="Times New Roman" w:eastAsia="仿宋_GB2312" w:cs="Times New Roman"/>
          <w:b w:val="0"/>
          <w:bCs/>
          <w:sz w:val="32"/>
          <w:szCs w:val="32"/>
          <w:lang w:val="en-US" w:eastAsia="zh-CN"/>
        </w:rPr>
        <w:t>项目支出：指在基本支出之外为完成特定行政任务和事业发展目标所发生的的支出。</w:t>
      </w:r>
    </w:p>
    <w:p>
      <w:pPr>
        <w:adjustRightInd w:val="0"/>
        <w:snapToGrid w:val="0"/>
        <w:spacing w:line="600" w:lineRule="exact"/>
        <w:jc w:val="left"/>
        <w:rPr>
          <w:rFonts w:hint="eastAsia" w:ascii="仿宋_GB2312" w:hAnsi="仿宋_GB2312" w:eastAsia="仿宋_GB2312"/>
          <w:color w:val="auto"/>
          <w:sz w:val="32"/>
          <w:lang w:val="en-US" w:eastAsia="zh-CN"/>
        </w:rPr>
      </w:pPr>
      <w:r>
        <w:rPr>
          <w:rFonts w:hint="eastAsia" w:ascii="仿宋_GB2312" w:hAnsi="仿宋_GB2312" w:eastAsia="仿宋_GB2312"/>
          <w:b w:val="0"/>
          <w:bCs/>
          <w:color w:val="auto"/>
          <w:sz w:val="32"/>
          <w:lang w:val="en-US" w:eastAsia="zh-CN"/>
        </w:rPr>
        <w:t xml:space="preserve">    4.“三公”经费：</w:t>
      </w:r>
      <w:r>
        <w:rPr>
          <w:rFonts w:hint="eastAsia" w:ascii="仿宋_GB2312" w:hAnsi="仿宋_GB2312" w:eastAsia="仿宋_GB2312"/>
          <w:color w:val="auto"/>
          <w:sz w:val="32"/>
          <w:lang w:val="en-US" w:eastAsia="zh-CN"/>
        </w:rPr>
        <w:t>纳入财政预决算管理的“三公”经费，是指单位用财政拨款安排的因公出国（境）费、公务用车购置及运行费和公务接待费。其中，因公出国（境）费</w:t>
      </w:r>
      <w:r>
        <w:rPr>
          <w:rFonts w:hint="eastAsia" w:ascii="仿宋_GB2312" w:hAnsi="仿宋_GB2312" w:eastAsia="仿宋_GB2312"/>
          <w:color w:val="auto"/>
          <w:sz w:val="32"/>
        </w:rPr>
        <w:t>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三公”经费填列单位使用一般公共预算财政拨款安排的支出，“三公”经费金额与财决08表保持一致。</w:t>
      </w:r>
    </w:p>
    <w:p>
      <w:pPr>
        <w:rPr>
          <w:rFonts w:hint="eastAsia" w:ascii="仿宋_GB2312" w:hAnsi="仿宋_GB2312" w:eastAsia="仿宋_GB2312"/>
          <w:color w:val="auto"/>
          <w:sz w:val="32"/>
          <w:lang w:val="en-US" w:eastAsia="zh-CN"/>
        </w:rPr>
      </w:pPr>
      <w:r>
        <w:rPr>
          <w:rFonts w:hint="eastAsia" w:ascii="仿宋_GB2312" w:hAnsi="仿宋_GB2312" w:eastAsia="仿宋_GB2312"/>
          <w:b w:val="0"/>
          <w:bCs w:val="0"/>
          <w:color w:val="auto"/>
          <w:sz w:val="32"/>
          <w:lang w:val="en-US" w:eastAsia="zh-CN"/>
        </w:rPr>
        <w:t xml:space="preserve">    5.机关运行经费：</w:t>
      </w:r>
      <w:r>
        <w:rPr>
          <w:rFonts w:hint="eastAsia" w:ascii="仿宋_GB2312" w:hAnsi="仿宋_GB2312" w:eastAsia="仿宋_GB2312"/>
          <w:color w:val="auto"/>
          <w:sz w:val="32"/>
          <w:lang w:val="en-US" w:eastAsia="zh-CN"/>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rPr>
          <w:rFonts w:hint="eastAsia" w:ascii="仿宋_GB2312" w:hAnsi="仿宋_GB2312" w:eastAsia="仿宋_GB2312"/>
          <w:color w:val="auto"/>
          <w:sz w:val="32"/>
          <w:lang w:val="en-US" w:eastAsia="zh-CN"/>
        </w:rPr>
      </w:pPr>
      <w:r>
        <w:rPr>
          <w:rFonts w:hint="eastAsia" w:ascii="仿宋_GB2312" w:hAnsi="仿宋_GB2312" w:eastAsia="仿宋_GB2312"/>
          <w:color w:val="auto"/>
          <w:sz w:val="32"/>
          <w:lang w:val="en-US" w:eastAsia="zh-CN"/>
        </w:rPr>
        <w:t xml:space="preserve">   </w:t>
      </w:r>
      <w:r>
        <w:rPr>
          <w:rFonts w:hint="eastAsia" w:ascii="黑体" w:hAnsi="黑体" w:eastAsia="黑体" w:cs="黑体"/>
          <w:color w:val="auto"/>
          <w:sz w:val="32"/>
          <w:lang w:val="en-US" w:eastAsia="zh-CN"/>
        </w:rPr>
        <w:t xml:space="preserve"> 九、其他需说明的事项</w:t>
      </w:r>
    </w:p>
    <w:p>
      <w:pPr>
        <w:numPr>
          <w:ilvl w:val="0"/>
          <w:numId w:val="0"/>
        </w:numPr>
        <w:rPr>
          <w:rFonts w:hint="eastAsia" w:ascii="仿宋_GB2312" w:hAnsi="仿宋_GB2312" w:eastAsia="仿宋_GB2312"/>
          <w:color w:val="auto"/>
          <w:sz w:val="32"/>
          <w:lang w:val="en-US" w:eastAsia="zh-CN"/>
        </w:rPr>
      </w:pPr>
      <w:r>
        <w:rPr>
          <w:rFonts w:hint="eastAsia" w:ascii="仿宋_GB2312" w:hAnsi="仿宋_GB2312" w:eastAsia="仿宋_GB2312"/>
          <w:color w:val="auto"/>
          <w:sz w:val="32"/>
          <w:lang w:val="en-US" w:eastAsia="zh-CN"/>
        </w:rPr>
        <w:t xml:space="preserve">    无其他需说明的事项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Bookshelf Symbol 7">
    <w:panose1 w:val="05010101010101010101"/>
    <w:charset w:val="00"/>
    <w:family w:val="auto"/>
    <w:pitch w:val="default"/>
    <w:sig w:usb0="00000000" w:usb1="00000000" w:usb2="00000000" w:usb3="00000000" w:csb0="8000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华文宋体">
    <w:panose1 w:val="02010600040101010101"/>
    <w:charset w:val="86"/>
    <w:family w:val="auto"/>
    <w:pitch w:val="default"/>
    <w:sig w:usb0="00000287" w:usb1="080F0000" w:usb2="00000000" w:usb3="00000000" w:csb0="0004009F" w:csb1="DFD70000"/>
  </w:font>
  <w:font w:name="?????_GBK">
    <w:altName w:val="Times New Roman"/>
    <w:panose1 w:val="00000000000000000000"/>
    <w:charset w:val="00"/>
    <w:family w:val="auto"/>
    <w:pitch w:val="default"/>
    <w:sig w:usb0="00000000" w:usb1="00000000" w:usb2="00000000" w:usb3="00000000" w:csb0="00000001" w:csb1="00000000"/>
  </w:font>
  <w:font w:name="MS Gothic">
    <w:panose1 w:val="020B0609070205080204"/>
    <w:charset w:val="80"/>
    <w:family w:val="modern"/>
    <w:pitch w:val="default"/>
    <w:sig w:usb0="E00002FF" w:usb1="6AC7FDFB" w:usb2="00000012" w:usb3="00000000" w:csb0="4002009F" w:csb1="DFD70000"/>
  </w:font>
  <w:font w:name="宋体-PUA">
    <w:altName w:val="宋体"/>
    <w:panose1 w:val="02010600030101010101"/>
    <w:charset w:val="86"/>
    <w:family w:val="auto"/>
    <w:pitch w:val="default"/>
    <w:sig w:usb0="00000000" w:usb1="0000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兰亭超细黑简体">
    <w:altName w:val="黑体"/>
    <w:panose1 w:val="02000000000000000000"/>
    <w:charset w:val="86"/>
    <w:family w:val="auto"/>
    <w:pitch w:val="default"/>
    <w:sig w:usb0="00000000" w:usb1="00000000" w:usb2="00000000" w:usb3="00000000" w:csb0="00040000" w:csb1="00000000"/>
  </w:font>
  <w:font w:name="方正小标宋简体">
    <w:altName w:val="微软雅黑"/>
    <w:panose1 w:val="03000509000000000000"/>
    <w:charset w:val="86"/>
    <w:family w:val="auto"/>
    <w:pitch w:val="default"/>
    <w:sig w:usb0="00000000" w:usb1="00000000" w:usb2="00000000" w:usb3="00000000" w:csb0="00040000" w:csb1="00000000"/>
  </w:font>
  <w:font w:name="FZFangSong-Z02">
    <w:altName w:val="Courier New"/>
    <w:panose1 w:val="00000000000000000000"/>
    <w:charset w:val="00"/>
    <w:family w:val="swiss"/>
    <w:pitch w:val="default"/>
    <w:sig w:usb0="00000000" w:usb1="00000000" w:usb2="00000000" w:usb3="00000000" w:csb0="00000001" w:csb1="00000000"/>
  </w:font>
  <w:font w:name="Arial">
    <w:panose1 w:val="020B0604020202020204"/>
    <w:charset w:val="00"/>
    <w:family w:val="swiss"/>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方正黑体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336423"/>
    <w:multiLevelType w:val="singleLevel"/>
    <w:tmpl w:val="59336423"/>
    <w:lvl w:ilvl="0" w:tentative="0">
      <w:start w:val="2"/>
      <w:numFmt w:val="chineseCounting"/>
      <w:suff w:val="nothing"/>
      <w:lvlText w:val="%1、"/>
      <w:lvlJc w:val="left"/>
    </w:lvl>
  </w:abstractNum>
  <w:abstractNum w:abstractNumId="1">
    <w:nsid w:val="593367CE"/>
    <w:multiLevelType w:val="singleLevel"/>
    <w:tmpl w:val="593367CE"/>
    <w:lvl w:ilvl="0" w:tentative="0">
      <w:start w:val="3"/>
      <w:numFmt w:val="decimal"/>
      <w:suff w:val="nothing"/>
      <w:lvlText w:val="%1."/>
      <w:lvlJc w:val="left"/>
    </w:lvl>
  </w:abstractNum>
  <w:abstractNum w:abstractNumId="2">
    <w:nsid w:val="59336D78"/>
    <w:multiLevelType w:val="singleLevel"/>
    <w:tmpl w:val="59336D78"/>
    <w:lvl w:ilvl="0" w:tentative="0">
      <w:start w:val="4"/>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E3608B"/>
    <w:rsid w:val="2AE3608B"/>
    <w:rsid w:val="36A10AEF"/>
    <w:rsid w:val="47AE58D4"/>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2018-02-26T02:13:00Z</dcterms:created>
  <dc:creator>Administrator</dc:creator>
  <cp:lastModifiedBy>lenovo</cp:lastModifiedBy>
  <dcterms:modified xsi:type="dcterms:W3CDTF">2019-03-15T00:38:13Z</dcterms:modified>
  <dc:title>石家庄市金融工作办公室</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