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石家庄市审计局</w:t>
      </w: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审计执法经费项目自评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报告</w:t>
      </w:r>
    </w:p>
    <w:p>
      <w:pPr>
        <w:widowControl w:val="0"/>
        <w:wordWrap/>
        <w:spacing w:line="360" w:lineRule="auto"/>
        <w:ind w:left="0" w:leftChars="0" w:right="0" w:firstLine="0" w:firstLineChars="0"/>
        <w:jc w:val="both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石家庄市财政支出绩效评价办法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石财绩[2013]2号）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审计执法经费项目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财政支出绩效自评价</w:t>
      </w:r>
      <w:r>
        <w:rPr>
          <w:rFonts w:hint="eastAsia" w:ascii="仿宋_GB2312" w:eastAsia="仿宋_GB2312"/>
          <w:sz w:val="32"/>
          <w:szCs w:val="32"/>
        </w:rPr>
        <w:t>，形成本评价报告。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项目实施单位为石家庄市审计局。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/>
          <w:sz w:val="32"/>
          <w:szCs w:val="32"/>
          <w:lang w:eastAsia="zh-CN"/>
        </w:rPr>
        <w:t>项目立项基本情况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ascii="仿宋_GB2312" w:hAnsi="仿宋_GB2312" w:eastAsia="仿宋_GB2312" w:cs="仿宋_GB2312"/>
          <w:color w:val="auto"/>
          <w:spacing w:val="0"/>
          <w:position w:val="0"/>
          <w:sz w:val="32"/>
          <w:shd w:val="clear" w:fill="auto"/>
        </w:rPr>
        <w:t>根据《中华人民共和国审计法》、《中华人民共和国审计法实施条例》、《十三五国家审计工作发展规划》、《国务院关于加强审计工作的意见》（国办[2014]48号）、《审计署关于进一步加强财政审计的意见》（审财发[2010]143号）、《党政主要领导干部和国有企业领导人员经济责任审计规定》（中办发[2010]32号）、《审计署关于印发“十三五”国家审计信息化发展指导意见的通知》（审数据发[2016]97号）等文件规定和精神以及全省审计工作的总体要求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为加强审计外勤经费管理，保障审计纪律切实执行，依法有效履行审计监督职责，本着以人为本、方便审计、节约开支的原则，</w:t>
      </w:r>
      <w:r>
        <w:rPr>
          <w:rFonts w:ascii="仿宋_GB2312" w:hAnsi="仿宋_GB2312" w:eastAsia="仿宋_GB2312" w:cs="仿宋_GB2312"/>
          <w:color w:val="auto"/>
          <w:spacing w:val="0"/>
          <w:position w:val="0"/>
          <w:sz w:val="32"/>
          <w:shd w:val="clear" w:fill="auto"/>
        </w:rPr>
        <w:t>对审计</w:t>
      </w:r>
      <w:r>
        <w:rPr>
          <w:rFonts w:hint="eastAsia" w:ascii="仿宋_GB2312" w:hAnsi="仿宋_GB2312" w:eastAsia="仿宋_GB2312" w:cs="仿宋_GB2312"/>
          <w:color w:val="auto"/>
          <w:spacing w:val="0"/>
          <w:position w:val="0"/>
          <w:sz w:val="32"/>
          <w:shd w:val="clear" w:fill="auto"/>
          <w:lang w:eastAsia="zh-CN"/>
        </w:rPr>
        <w:t>执法</w:t>
      </w:r>
      <w:r>
        <w:rPr>
          <w:rFonts w:ascii="仿宋_GB2312" w:hAnsi="仿宋_GB2312" w:eastAsia="仿宋_GB2312" w:cs="仿宋_GB2312"/>
          <w:color w:val="auto"/>
          <w:spacing w:val="0"/>
          <w:position w:val="0"/>
          <w:sz w:val="32"/>
          <w:shd w:val="clear" w:fill="auto"/>
        </w:rPr>
        <w:t>经费项目予以立项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3、项目主要实施内容和范围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360" w:lineRule="auto"/>
        <w:ind w:left="16" w:leftChars="0" w:right="0" w:rightChars="0" w:hanging="16" w:hangingChars="5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审计执法经费项目资金专项用于审计人员履行工作职责，</w:t>
      </w:r>
      <w:r>
        <w:rPr>
          <w:rFonts w:hint="eastAsia" w:ascii="仿宋_GB2312" w:hAnsi="仿宋_GB2312" w:eastAsia="仿宋_GB2312"/>
          <w:sz w:val="32"/>
          <w:szCs w:val="32"/>
        </w:rPr>
        <w:t>对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全市</w:t>
      </w:r>
      <w:r>
        <w:rPr>
          <w:rFonts w:hint="eastAsia" w:ascii="仿宋_GB2312" w:hAnsi="仿宋_GB2312" w:eastAsia="仿宋_GB2312"/>
          <w:sz w:val="32"/>
          <w:szCs w:val="32"/>
        </w:rPr>
        <w:t>财政收支和</w:t>
      </w:r>
      <w:r>
        <w:rPr>
          <w:rFonts w:hint="eastAsia" w:ascii="仿宋_GB2312" w:hAnsi="仿宋_GB2312" w:eastAsia="仿宋_GB2312"/>
          <w:strike w:val="0"/>
          <w:dstrike w:val="0"/>
          <w:color w:val="auto"/>
          <w:sz w:val="32"/>
          <w:szCs w:val="32"/>
          <w:u w:val="none" w:color="auto"/>
          <w:lang w:eastAsia="zh-CN"/>
        </w:rPr>
        <w:t>依法</w:t>
      </w:r>
      <w:r>
        <w:rPr>
          <w:rFonts w:hint="eastAsia" w:ascii="仿宋_GB2312" w:hAnsi="仿宋_GB2312" w:eastAsia="仿宋_GB2312"/>
          <w:sz w:val="32"/>
          <w:szCs w:val="32"/>
        </w:rPr>
        <w:t>属于审计监督范围的财务收支的真实、合法和效益进行审计监督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时产生的各项工作费用开支</w:t>
      </w:r>
      <w:r>
        <w:rPr>
          <w:rFonts w:hint="eastAsia" w:ascii="仿宋_GB2312" w:hAnsi="仿宋_GB2312" w:eastAsia="仿宋_GB2312"/>
          <w:sz w:val="32"/>
          <w:szCs w:val="32"/>
        </w:rPr>
        <w:t>，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如对</w:t>
      </w:r>
      <w:r>
        <w:rPr>
          <w:rFonts w:hint="eastAsia" w:ascii="仿宋_GB2312" w:hAnsi="仿宋_GB2312" w:eastAsia="仿宋_GB2312"/>
          <w:sz w:val="32"/>
          <w:szCs w:val="32"/>
        </w:rPr>
        <w:t>市本级预算执行和其他财政收支情况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审计，对公共资金、国有资产、国有资源和领导干部履行经济责任情况审计，对领导干部实行自然资源资产离任审计，对</w:t>
      </w:r>
      <w:r>
        <w:rPr>
          <w:rFonts w:hint="eastAsia" w:ascii="仿宋_GB2312" w:hAnsi="仿宋_GB2312" w:eastAsia="仿宋_GB2312"/>
          <w:sz w:val="32"/>
          <w:szCs w:val="32"/>
          <w:u w:val="none"/>
          <w:lang w:eastAsia="zh-CN"/>
        </w:rPr>
        <w:t>省、市党委、政府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有关重大政策措施贯彻落实情况进行跟踪审计等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审计项目实施时产生的住宿、交通、伙食等外勤费用提供经费保障。2020年使用审计执法经费的项目共有88个，包括市本级预算执行、决算草案及其他财政收支审计；全省脱贫攻坚审计；地方党政领导干部经济责任审计；</w:t>
      </w:r>
      <w:r>
        <w:rPr>
          <w:rFonts w:hint="eastAsia" w:ascii="仿宋_GB2312" w:eastAsia="仿宋_GB2312"/>
          <w:sz w:val="30"/>
          <w:szCs w:val="30"/>
          <w:lang w:val="en-US" w:eastAsia="zh-CN"/>
        </w:rPr>
        <w:t>重点建设项目跟踪审计</w:t>
      </w:r>
      <w:r>
        <w:rPr>
          <w:rFonts w:hint="eastAsia" w:ascii="仿宋_GB2312" w:eastAsia="仿宋_GB2312"/>
          <w:b w:val="0"/>
          <w:bCs w:val="0"/>
          <w:sz w:val="30"/>
          <w:szCs w:val="30"/>
          <w:lang w:val="en-US" w:eastAsia="zh-CN"/>
        </w:rPr>
        <w:t>等项目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360" w:lineRule="auto"/>
        <w:ind w:leftChars="200" w:right="0" w:rightChars="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4、项目资金投入情况</w:t>
      </w:r>
    </w:p>
    <w:p>
      <w:pPr>
        <w:widowControl w:val="0"/>
        <w:numPr>
          <w:ilvl w:val="0"/>
          <w:numId w:val="0"/>
        </w:numPr>
        <w:wordWrap/>
        <w:adjustRightInd w:val="0"/>
        <w:snapToGrid w:val="0"/>
        <w:spacing w:line="360" w:lineRule="auto"/>
        <w:ind w:left="16" w:leftChars="0" w:right="0" w:rightChars="0" w:hanging="16" w:hangingChars="5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2020年审计执法经费项目调整预算数为545万元，资金来源为一般公共预算拨款。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0" w:firstLineChars="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绩效目标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项目年度预期目标是：</w:t>
      </w:r>
      <w:r>
        <w:rPr>
          <w:rFonts w:hint="eastAsia" w:ascii="仿宋_GB2312" w:eastAsia="仿宋_GB2312"/>
          <w:sz w:val="32"/>
          <w:szCs w:val="32"/>
        </w:rPr>
        <w:t>组织审计人员、专业技术人员履行工作职责，审计本级财政部门本级预算执行情况，审计下级人民政府的预算执行和决算情况，审计其他财政收支、重大政策落实情况，审计其他取得财政资金的单位和项目接受、运用财政资金的真实、合法和效益情况,实施领导干部经济责任审计等审计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年度绩效指标包括产出指标、预算执行率指标、效益指标和满意度指标。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产出指标：完成专项审计项目≧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提交审计报告和信息剪报的数量</w:t>
      </w:r>
      <w:r>
        <w:rPr>
          <w:rFonts w:hint="eastAsia" w:ascii="仿宋_GB2312" w:eastAsia="仿宋_GB2312"/>
          <w:sz w:val="32"/>
          <w:szCs w:val="32"/>
          <w:lang w:eastAsia="zh-CN"/>
        </w:rPr>
        <w:t>≧120篇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预算执行率指标：预算执行率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100%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效益指标：政策建议采纳率</w:t>
      </w:r>
      <w:r>
        <w:rPr>
          <w:rFonts w:hint="eastAsia" w:ascii="仿宋_GB2312" w:eastAsia="仿宋_GB2312"/>
          <w:sz w:val="32"/>
          <w:szCs w:val="32"/>
          <w:lang w:eastAsia="zh-CN"/>
        </w:rPr>
        <w:t>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90%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被审计单位根据审计建议制定的整改措施        </w:t>
      </w:r>
      <w:r>
        <w:rPr>
          <w:rFonts w:hint="eastAsia" w:ascii="仿宋_GB2312" w:eastAsia="仿宋_GB2312"/>
          <w:sz w:val="32"/>
          <w:szCs w:val="32"/>
          <w:lang w:eastAsia="zh-CN"/>
        </w:rPr>
        <w:t>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30条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审计决定落实率</w:t>
      </w:r>
      <w:r>
        <w:rPr>
          <w:rFonts w:hint="eastAsia" w:ascii="仿宋_GB2312" w:eastAsia="仿宋_GB2312"/>
          <w:sz w:val="32"/>
          <w:szCs w:val="32"/>
          <w:lang w:eastAsia="zh-CN"/>
        </w:rPr>
        <w:t>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80%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满意度指标：服务对象对项目实施效果的满意程度</w:t>
      </w:r>
      <w:r>
        <w:rPr>
          <w:rFonts w:hint="eastAsia" w:ascii="仿宋_GB2312" w:eastAsia="仿宋_GB2312"/>
          <w:sz w:val="32"/>
          <w:szCs w:val="32"/>
          <w:lang w:eastAsia="zh-CN"/>
        </w:rPr>
        <w:t>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95%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二、自评工作情况</w:t>
      </w:r>
    </w:p>
    <w:p>
      <w:pPr>
        <w:widowControl w:val="0"/>
        <w:wordWrap/>
        <w:spacing w:line="360" w:lineRule="auto"/>
        <w:ind w:left="0" w:leftChars="0" w:right="0" w:firstLine="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（一）自评的组织工作</w:t>
      </w:r>
    </w:p>
    <w:p>
      <w:pPr>
        <w:widowControl w:val="0"/>
        <w:wordWrap/>
        <w:spacing w:line="360" w:lineRule="auto"/>
        <w:ind w:left="0" w:leftChars="0" w:right="0" w:firstLine="64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成立绩效自评工作领导小组</w:t>
      </w:r>
    </w:p>
    <w:p>
      <w:pPr>
        <w:widowControl w:val="0"/>
        <w:wordWrap/>
        <w:spacing w:line="360" w:lineRule="auto"/>
        <w:ind w:left="0" w:leftChars="0" w:right="0" w:firstLine="64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组  长：审计局副局长李强平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组  员：审计局办公室主任梁春景、财务人员吴广卿、固定资产投资审计处处长高永新、财政审计处处长孟立新、政策法规处处长沈晓白担任。开展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评价</w:t>
      </w:r>
      <w:r>
        <w:rPr>
          <w:rFonts w:hint="eastAsia" w:ascii="仿宋_GB2312" w:hAnsi="仿宋_GB2312" w:eastAsia="仿宋_GB2312" w:cs="仿宋_GB2312"/>
          <w:sz w:val="32"/>
          <w:szCs w:val="32"/>
        </w:rPr>
        <w:t>资料收集、评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价</w:t>
      </w:r>
      <w:r>
        <w:rPr>
          <w:rFonts w:hint="eastAsia" w:ascii="仿宋_GB2312" w:hAnsi="仿宋_GB2312" w:eastAsia="仿宋_GB2312" w:cs="仿宋_GB2312"/>
          <w:sz w:val="32"/>
          <w:szCs w:val="32"/>
        </w:rPr>
        <w:t>过程、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评价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工作管理组织等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绩效评价工作方案制定过程：一是</w:t>
      </w:r>
      <w:r>
        <w:rPr>
          <w:rFonts w:hint="eastAsia" w:ascii="仿宋_GB2312" w:hAnsi="仿宋_GB2312" w:eastAsia="仿宋_GB2312" w:cs="仿宋_GB2312"/>
          <w:sz w:val="32"/>
          <w:szCs w:val="32"/>
        </w:rPr>
        <w:t>前期调研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根据绩效评价要求，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由局办公室</w:t>
      </w:r>
      <w:r>
        <w:rPr>
          <w:rFonts w:hint="eastAsia" w:ascii="仿宋_GB2312" w:hAnsi="仿宋_GB2312" w:eastAsia="仿宋_GB2312" w:cs="仿宋_GB2312"/>
          <w:sz w:val="32"/>
          <w:szCs w:val="32"/>
        </w:rPr>
        <w:t>开展总体情况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sz w:val="32"/>
          <w:szCs w:val="32"/>
        </w:rPr>
        <w:t>，查阅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年度项目执行情况及资金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使用等情况。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评价指标体系及方案设计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。自评</w:t>
      </w:r>
      <w:r>
        <w:rPr>
          <w:rFonts w:hint="eastAsia" w:ascii="仿宋_GB2312" w:hAnsi="仿宋_GB2312" w:eastAsia="仿宋_GB2312" w:cs="仿宋_GB2312"/>
          <w:sz w:val="32"/>
          <w:szCs w:val="32"/>
        </w:rPr>
        <w:t>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熟悉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项目预算编制依据，项目实施流程，项目质量控制制度等初步情况后，依据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市财政局下发的相关绩效评价</w:t>
      </w:r>
      <w:r>
        <w:rPr>
          <w:rFonts w:hint="eastAsia" w:ascii="仿宋_GB2312" w:hAnsi="仿宋_GB2312" w:eastAsia="仿宋_GB2312" w:cs="仿宋_GB2312"/>
          <w:sz w:val="32"/>
          <w:szCs w:val="32"/>
        </w:rPr>
        <w:t>文件制定工作方案，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制定自评方案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wordWrap/>
        <w:spacing w:line="360" w:lineRule="auto"/>
        <w:ind w:left="0" w:leftChars="0" w:right="0" w:firstLine="642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（二）自评的方法和过程</w:t>
      </w:r>
    </w:p>
    <w:p>
      <w:pPr>
        <w:widowControl w:val="0"/>
        <w:wordWrap/>
        <w:spacing w:line="360" w:lineRule="auto"/>
        <w:ind w:left="0" w:leftChars="0" w:right="0" w:firstLine="642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本次绩效评价主要采取座谈会、查阅相关资料、电话回访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等方式进行评价。一是收集使用审计执法经费项目的相关资料，通过查阅会计账簿和凭证，对报账手续、审批流程、资金使用内容等情况进行全面梳理，对预算执行率指标做出评价；二是汇总各业务处室使用审计执法经费项目的审计成果，综合分析进行产出指标及效益指标评价。三是通过电话回访的方式，收集被审计对象和项目负责人、主审人员满意度评价资料，进行满意度指标评价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2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892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13"/>
        <w:gridCol w:w="1079"/>
        <w:gridCol w:w="808"/>
        <w:gridCol w:w="2486"/>
        <w:gridCol w:w="989"/>
        <w:gridCol w:w="1064"/>
        <w:gridCol w:w="128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2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Style w:val="7"/>
                <w:lang w:val="en-US" w:eastAsia="zh-CN" w:bidi="ar"/>
              </w:rPr>
              <w:t>年度绩效指标完成情况</w:t>
            </w: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自评得分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产出指标（40）</w:t>
            </w:r>
          </w:p>
        </w:tc>
        <w:tc>
          <w:tcPr>
            <w:tcW w:w="808" w:type="dxa"/>
            <w:vMerge w:val="restart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完成专项审计项目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≧90%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≧90%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08" w:type="dxa"/>
            <w:vMerge w:val="continue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提交审计报告和信息剪报的数量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&gt;=120篇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&gt;=120篇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vMerge w:val="continue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审计报告合格率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≧90%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100%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预算执行率指标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08" w:type="dxa"/>
            <w:tcBorders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全年整体支出进度达到95%及以上的，不扣分；95%以下的，每低一个百分点扣0.3分；低于80%的，扣5分。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100%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99.14%</w:t>
            </w:r>
          </w:p>
        </w:tc>
        <w:tc>
          <w:tcPr>
            <w:tcW w:w="128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效益指标（40）</w:t>
            </w:r>
          </w:p>
        </w:tc>
        <w:tc>
          <w:tcPr>
            <w:tcW w:w="8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政策建议采纳率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≧90%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≧90%</w:t>
            </w:r>
          </w:p>
        </w:tc>
        <w:tc>
          <w:tcPr>
            <w:tcW w:w="128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被审计单位根据审计建议制定的整改措施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≧30条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≧30条</w:t>
            </w:r>
          </w:p>
        </w:tc>
        <w:tc>
          <w:tcPr>
            <w:tcW w:w="128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808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24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审计决定落实率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≧80%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≧80%</w:t>
            </w:r>
          </w:p>
        </w:tc>
        <w:tc>
          <w:tcPr>
            <w:tcW w:w="128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（10分）</w:t>
            </w:r>
          </w:p>
        </w:tc>
        <w:tc>
          <w:tcPr>
            <w:tcW w:w="808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2486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服务对象对项目实施效果的满意程度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≧95%</w:t>
            </w:r>
          </w:p>
        </w:tc>
        <w:tc>
          <w:tcPr>
            <w:tcW w:w="1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≧95%</w:t>
            </w:r>
          </w:p>
        </w:tc>
        <w:tc>
          <w:tcPr>
            <w:tcW w:w="128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12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642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总分</w:t>
            </w:r>
          </w:p>
        </w:tc>
        <w:tc>
          <w:tcPr>
            <w:tcW w:w="1284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</w:tr>
    </w:tbl>
    <w:p>
      <w:pPr>
        <w:widowControl w:val="0"/>
        <w:wordWrap/>
        <w:spacing w:line="360" w:lineRule="auto"/>
        <w:ind w:left="0" w:leftChars="0" w:right="0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</w:p>
    <w:p>
      <w:pPr>
        <w:widowControl w:val="0"/>
        <w:wordWrap/>
        <w:spacing w:line="360" w:lineRule="auto"/>
        <w:ind w:left="0" w:leftChars="0" w:right="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widowControl w:val="0"/>
        <w:numPr>
          <w:ilvl w:val="0"/>
          <w:numId w:val="1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预算执行情况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2020年度审计执法经费调整预算为545万元，实际支出540.33万元，预算执行率99.14%。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该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指标分值为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</w:rPr>
        <w:t>0分，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得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分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（二）项目产出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2020年度使用审计执法经费完成了88个项目，包括市本级预算执行、决算草案及其他财政收支审计；全省脱贫攻坚审计；地方党政领导干部经济责任审计；重点建设项目跟踪审计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等项目。</w:t>
      </w:r>
      <w:r>
        <w:rPr>
          <w:rFonts w:hint="eastAsia" w:ascii="仿宋_GB2312" w:hAnsi="仿宋_GB2312" w:eastAsia="仿宋_GB2312" w:cs="宋体"/>
          <w:sz w:val="32"/>
          <w:szCs w:val="32"/>
          <w:lang w:val="en-US" w:eastAsia="zh-CN"/>
        </w:rPr>
        <w:t>全年</w:t>
      </w:r>
      <w:r>
        <w:rPr>
          <w:rFonts w:hint="eastAsia" w:ascii="仿宋_GB2312" w:hAnsi="仿宋_GB2312" w:eastAsia="仿宋_GB2312"/>
          <w:sz w:val="32"/>
          <w:szCs w:val="32"/>
        </w:rPr>
        <w:t>完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成审计单位232个，经济责任审计97人</w:t>
      </w:r>
      <w:r>
        <w:rPr>
          <w:rFonts w:hint="eastAsia" w:ascii="仿宋_GB2312" w:hAnsi="仿宋_GB2312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/>
          <w:color w:val="auto"/>
          <w:sz w:val="32"/>
          <w:szCs w:val="32"/>
          <w:lang w:eastAsia="zh-CN"/>
        </w:rPr>
        <w:t>查出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管理不规范</w:t>
      </w:r>
      <w:r>
        <w:rPr>
          <w:rFonts w:hint="eastAsia" w:ascii="仿宋_GB2312" w:hAnsi="仿宋_GB2312" w:eastAsia="仿宋_GB2312"/>
          <w:color w:val="auto"/>
          <w:sz w:val="32"/>
          <w:szCs w:val="32"/>
          <w:lang w:eastAsia="zh-CN"/>
        </w:rPr>
        <w:t>资金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173亿元</w:t>
      </w:r>
      <w:r>
        <w:rPr>
          <w:rFonts w:hint="eastAsia" w:ascii="仿宋_GB2312" w:hAnsi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违规</w:t>
      </w:r>
      <w:r>
        <w:rPr>
          <w:rFonts w:hint="eastAsia" w:ascii="仿宋_GB2312" w:hAnsi="仿宋_GB2312" w:eastAsia="仿宋_GB2312"/>
          <w:color w:val="auto"/>
          <w:sz w:val="32"/>
          <w:szCs w:val="32"/>
          <w:lang w:eastAsia="zh-CN"/>
        </w:rPr>
        <w:t>资金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12.6亿元，审计期间整改11.8亿元，促进拨付到位13.9亿元，核减投资额318万元，移送</w:t>
      </w:r>
      <w:r>
        <w:rPr>
          <w:rFonts w:hint="eastAsia" w:ascii="仿宋_GB2312" w:hAnsi="仿宋_GB2312"/>
          <w:color w:val="auto"/>
          <w:sz w:val="32"/>
          <w:szCs w:val="32"/>
          <w:lang w:eastAsia="zh-CN"/>
        </w:rPr>
        <w:t>处理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事项53件，</w:t>
      </w:r>
      <w:r>
        <w:rPr>
          <w:rFonts w:hint="eastAsia" w:ascii="仿宋_GB2312" w:hAnsi="仿宋_GB2312"/>
          <w:color w:val="auto"/>
          <w:sz w:val="32"/>
          <w:szCs w:val="32"/>
          <w:lang w:eastAsia="zh-CN"/>
        </w:rPr>
        <w:t>涉及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金额1.1亿元</w:t>
      </w:r>
      <w:r>
        <w:rPr>
          <w:rFonts w:hint="eastAsia" w:ascii="仿宋_GB2312" w:hAnsi="仿宋_GB2312" w:eastAsia="仿宋_GB2312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宋体"/>
          <w:sz w:val="32"/>
          <w:szCs w:val="32"/>
          <w:lang w:val="en-US" w:eastAsia="zh-CN"/>
        </w:rPr>
        <w:t>完成专项审计项目占专项审计计划数比例为95%；合格审计报告占审计报告总数达到100%。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该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指标分值为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</w:rPr>
        <w:t>0分，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得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0分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widowControl w:val="0"/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（三）项目效益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宋体"/>
          <w:sz w:val="32"/>
          <w:szCs w:val="32"/>
          <w:lang w:val="en-US" w:eastAsia="zh-CN"/>
        </w:rPr>
        <w:t>审计建议采纳率达到95%，审计决定落实率达到80%，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审计结果报告得到市委、市政府主要领导批示</w:t>
      </w:r>
      <w:r>
        <w:rPr>
          <w:rFonts w:hint="eastAsia" w:ascii="仿宋_GB2312" w:hAnsi="仿宋_GB2312" w:eastAsia="仿宋_GB2312"/>
          <w:color w:val="auto"/>
          <w:sz w:val="32"/>
          <w:szCs w:val="32"/>
          <w:lang w:val="en-US" w:eastAsia="zh-CN"/>
        </w:rPr>
        <w:t>50</w:t>
      </w:r>
      <w:r>
        <w:rPr>
          <w:rFonts w:hint="eastAsia" w:ascii="仿宋_GB2312" w:hAnsi="仿宋_GB2312" w:eastAsia="仿宋_GB2312"/>
          <w:color w:val="auto"/>
          <w:sz w:val="32"/>
          <w:szCs w:val="32"/>
        </w:rPr>
        <w:t>余次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，促进被审计单位进一步强化财政资金管理使用工作，提高了财政资金的使用效率和效益。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该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指标分值为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</w:rPr>
        <w:t>0分，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得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0分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widowControl w:val="0"/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（四）满意度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通过电话回访，收集被审计对象和项目负责、主审人员满意度评价，均表示满意。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该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指标分值为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Cs/>
          <w:color w:val="000000"/>
          <w:kern w:val="0"/>
          <w:sz w:val="32"/>
          <w:szCs w:val="32"/>
        </w:rPr>
        <w:t>0分，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得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0分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color w:val="000000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得出综合评价结论和项目综合绩效评价等级。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经过严格、严谨自评，该项目基本完成了预期绩效，</w:t>
      </w:r>
      <w:r>
        <w:rPr>
          <w:rFonts w:hint="eastAsia" w:ascii="仿宋_GB2312" w:eastAsia="仿宋_GB2312"/>
          <w:b w:val="0"/>
          <w:bCs w:val="0"/>
          <w:color w:val="000000"/>
          <w:sz w:val="32"/>
          <w:szCs w:val="32"/>
          <w:lang w:val="en-US" w:eastAsia="zh-CN"/>
        </w:rPr>
        <w:t>项目综合绩效评价总分 100分，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绩效评价等级为优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秀。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（一）项目存在的主要问题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right="0"/>
        <w:textAlignment w:val="auto"/>
        <w:outlineLvl w:val="9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    主要问题是项目年初预算不足，后期两次调整追加项目资金。审计执法经费年初预算为300万元，调整预算为545万元，与年初预算相比调增81.67%。主要原因为2020年度审计任务繁重，尤其脱贫攻坚审计项目和重大政策落实情况跟踪审计项目增加，造成调整追加项目资金。</w:t>
      </w:r>
    </w:p>
    <w:p>
      <w:pPr>
        <w:widowControl w:val="0"/>
        <w:numPr>
          <w:ilvl w:val="0"/>
          <w:numId w:val="1"/>
        </w:numPr>
        <w:wordWrap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改进措施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right="0" w:firstLine="640"/>
        <w:textAlignment w:val="auto"/>
        <w:outlineLvl w:val="9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1、合理制定项目预算。结合年度审计计划及上级工作安排，综合考量，更加科学合理的制定项目预算。能调整结算时间的项目及时调整到年中，结合实际情况及时调整项目资金，提高项目资金使用效率。</w:t>
      </w:r>
    </w:p>
    <w:p>
      <w:pPr>
        <w:widowControl w:val="0"/>
        <w:numPr>
          <w:ilvl w:val="0"/>
          <w:numId w:val="0"/>
        </w:numPr>
        <w:wordWrap/>
        <w:spacing w:line="360" w:lineRule="auto"/>
        <w:ind w:right="0" w:firstLine="64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、提高内控意识。无论是业务人员还是财务人员，在实际工作的过程中养成一定内控意识，科学合理的在各个领域中分配本单位的经费，在不需要使用经费的地方不应当使用经费，尽可能在消耗最少经费的情况下完成更多的工作，促使单位实际运行的过程中更好的履行审计职能。</w:t>
      </w:r>
    </w:p>
    <w:p>
      <w:pPr>
        <w:widowControl w:val="0"/>
        <w:wordWrap/>
        <w:adjustRightInd w:val="0"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tbl>
      <w:tblPr>
        <w:tblStyle w:val="5"/>
        <w:tblpPr w:leftFromText="180" w:rightFromText="180" w:vertAnchor="text" w:tblpXSpec="center" w:tblpY="195"/>
        <w:tblOverlap w:val="never"/>
        <w:tblW w:w="664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5"/>
        <w:gridCol w:w="1292"/>
        <w:gridCol w:w="2592"/>
        <w:gridCol w:w="17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序号</w:t>
            </w:r>
          </w:p>
        </w:tc>
        <w:tc>
          <w:tcPr>
            <w:tcW w:w="1292" w:type="dxa"/>
            <w:vAlign w:val="center"/>
          </w:tcPr>
          <w:p>
            <w:pPr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1743" w:type="dxa"/>
            <w:vAlign w:val="center"/>
          </w:tcPr>
          <w:p>
            <w:pPr>
              <w:jc w:val="center"/>
              <w:rPr>
                <w:rFonts w:hint="eastAsia" w:eastAsia="宋体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李强平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市审计局</w:t>
            </w:r>
          </w:p>
        </w:tc>
        <w:tc>
          <w:tcPr>
            <w:tcW w:w="174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局党组成员、副局长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梁春景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市审计局</w:t>
            </w:r>
          </w:p>
        </w:tc>
        <w:tc>
          <w:tcPr>
            <w:tcW w:w="174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办公室</w:t>
            </w:r>
            <w:r>
              <w:rPr>
                <w:rFonts w:hint="eastAsia"/>
                <w:vertAlign w:val="baseline"/>
                <w:lang w:eastAsia="zh-CN"/>
              </w:rPr>
              <w:t>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高永新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市审计局</w:t>
            </w:r>
          </w:p>
        </w:tc>
        <w:tc>
          <w:tcPr>
            <w:tcW w:w="1743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投资审计处处长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孟立新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市审计局</w:t>
            </w:r>
          </w:p>
        </w:tc>
        <w:tc>
          <w:tcPr>
            <w:tcW w:w="1743" w:type="dxa"/>
            <w:vAlign w:val="center"/>
          </w:tcPr>
          <w:p>
            <w:pPr>
              <w:tabs>
                <w:tab w:val="center" w:pos="589"/>
              </w:tabs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财政审计处处长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沈晓白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市审计局</w:t>
            </w:r>
          </w:p>
        </w:tc>
        <w:tc>
          <w:tcPr>
            <w:tcW w:w="1743" w:type="dxa"/>
            <w:vAlign w:val="center"/>
          </w:tcPr>
          <w:p>
            <w:pPr>
              <w:tabs>
                <w:tab w:val="center" w:pos="589"/>
              </w:tabs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政策法规处处长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1015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12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吴广卿</w:t>
            </w:r>
          </w:p>
        </w:tc>
        <w:tc>
          <w:tcPr>
            <w:tcW w:w="2592" w:type="dxa"/>
            <w:vAlign w:val="center"/>
          </w:tcPr>
          <w:p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市审计局</w:t>
            </w:r>
          </w:p>
        </w:tc>
        <w:tc>
          <w:tcPr>
            <w:tcW w:w="1743" w:type="dxa"/>
            <w:vAlign w:val="center"/>
          </w:tcPr>
          <w:p>
            <w:pPr>
              <w:tabs>
                <w:tab w:val="center" w:pos="589"/>
              </w:tabs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财务</w:t>
            </w:r>
          </w:p>
        </w:tc>
      </w:tr>
    </w:tbl>
    <w:p>
      <w:pPr>
        <w:widowControl w:val="0"/>
        <w:wordWrap/>
        <w:spacing w:line="360" w:lineRule="auto"/>
        <w:ind w:left="0" w:leftChars="0" w:right="0"/>
        <w:textAlignment w:val="auto"/>
        <w:outlineLvl w:val="9"/>
        <w:rPr>
          <w:rFonts w:hint="eastAsia" w:eastAsia="宋体"/>
          <w:lang w:val="en-US" w:eastAsia="zh-CN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rPr>
          <w:rFonts w:hint="eastAsia"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>
      <w:pPr>
        <w:tabs>
          <w:tab w:val="left" w:pos="2123"/>
        </w:tabs>
        <w:jc w:val="left"/>
        <w:rPr>
          <w:rFonts w:hint="eastAsia" w:cs="黑体"/>
          <w:kern w:val="2"/>
          <w:sz w:val="21"/>
          <w:szCs w:val="22"/>
          <w:lang w:val="en-US" w:eastAsia="zh-CN" w:bidi="ar-SA"/>
        </w:rPr>
      </w:pPr>
      <w:r>
        <w:rPr>
          <w:rFonts w:hint="eastAsia" w:cs="黑体"/>
          <w:kern w:val="2"/>
          <w:sz w:val="21"/>
          <w:szCs w:val="22"/>
          <w:lang w:val="en-US" w:eastAsia="zh-CN" w:bidi="ar-SA"/>
        </w:rPr>
        <w:tab/>
      </w:r>
      <w:r>
        <w:rPr>
          <w:rFonts w:hint="eastAsia" w:cs="黑体"/>
          <w:kern w:val="2"/>
          <w:sz w:val="21"/>
          <w:szCs w:val="22"/>
          <w:lang w:val="en-US" w:eastAsia="zh-CN" w:bidi="ar-SA"/>
        </w:rPr>
        <w:t xml:space="preserve">                                    </w:t>
      </w:r>
    </w:p>
    <w:p>
      <w:pPr>
        <w:tabs>
          <w:tab w:val="left" w:pos="2123"/>
        </w:tabs>
        <w:jc w:val="left"/>
        <w:rPr>
          <w:rFonts w:hint="eastAsia" w:cs="黑体"/>
          <w:kern w:val="2"/>
          <w:sz w:val="21"/>
          <w:szCs w:val="22"/>
          <w:lang w:val="en-US" w:eastAsia="zh-CN" w:bidi="ar-SA"/>
        </w:rPr>
      </w:pPr>
    </w:p>
    <w:p>
      <w:pPr>
        <w:tabs>
          <w:tab w:val="left" w:pos="2123"/>
        </w:tabs>
        <w:jc w:val="left"/>
        <w:rPr>
          <w:rFonts w:hint="eastAsia" w:cs="黑体"/>
          <w:kern w:val="2"/>
          <w:sz w:val="21"/>
          <w:szCs w:val="22"/>
          <w:lang w:val="en-US" w:eastAsia="zh-CN" w:bidi="ar-SA"/>
        </w:rPr>
      </w:pPr>
    </w:p>
    <w:p>
      <w:pPr>
        <w:tabs>
          <w:tab w:val="left" w:pos="2123"/>
        </w:tabs>
        <w:jc w:val="left"/>
        <w:rPr>
          <w:rFonts w:hint="eastAsia" w:cs="黑体"/>
          <w:kern w:val="2"/>
          <w:sz w:val="21"/>
          <w:szCs w:val="22"/>
          <w:lang w:val="en-US" w:eastAsia="zh-CN" w:bidi="ar-SA"/>
        </w:rPr>
      </w:pPr>
    </w:p>
    <w:p>
      <w:pPr>
        <w:tabs>
          <w:tab w:val="left" w:pos="2123"/>
        </w:tabs>
        <w:wordWrap w:val="0"/>
        <w:jc w:val="right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石家庄市审计局      </w:t>
      </w:r>
    </w:p>
    <w:p>
      <w:pPr>
        <w:tabs>
          <w:tab w:val="left" w:pos="2123"/>
        </w:tabs>
        <w:wordWrap w:val="0"/>
        <w:jc w:val="right"/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 xml:space="preserve">                                2021年6月29日                 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7A"/>
    <w:family w:val="modern"/>
    <w:pitch w:val="default"/>
    <w:sig w:usb0="800002BF" w:usb1="38CF7CFA" w:usb2="00000016" w:usb3="00000000" w:csb0="00040001" w:csb1="00000000"/>
  </w:font>
  <w:font w:name="DFKaiSho-SB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swiss"/>
    <w:pitch w:val="default"/>
    <w:sig w:usb0="00000003" w:usb1="288F0000" w:usb2="00000006" w:usb3="00000000" w:csb0="00040001" w:csb1="00000000"/>
  </w:font>
  <w:font w:name="Tw Cen MT Condensed Extra Bold">
    <w:panose1 w:val="020B0803020202020204"/>
    <w:charset w:val="00"/>
    <w:family w:val="auto"/>
    <w:pitch w:val="default"/>
    <w:sig w:usb0="00000003" w:usb1="00000000" w:usb2="00000000" w:usb3="00000000" w:csb0="20000003" w:csb1="00000000"/>
  </w:font>
  <w:font w:name="Tw Cen MT Condensed">
    <w:panose1 w:val="020B0606020104020203"/>
    <w:charset w:val="00"/>
    <w:family w:val="auto"/>
    <w:pitch w:val="default"/>
    <w:sig w:usb0="00000003" w:usb1="00000000" w:usb2="00000000" w:usb3="00000000" w:csb0="20000003" w:csb1="00000000"/>
  </w:font>
  <w:font w:name="Tw Cen MT">
    <w:panose1 w:val="020B0602020104020603"/>
    <w:charset w:val="00"/>
    <w:family w:val="auto"/>
    <w:pitch w:val="default"/>
    <w:sig w:usb0="00000003" w:usb1="00000000" w:usb2="00000000" w:usb3="00000000" w:csb0="20000003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Traditional Arabic">
    <w:panose1 w:val="02020603050405020304"/>
    <w:charset w:val="00"/>
    <w:family w:val="auto"/>
    <w:pitch w:val="default"/>
    <w:sig w:usb0="00006003" w:usb1="80000000" w:usb2="00000008" w:usb3="00000000" w:csb0="00000041" w:csb1="20080000"/>
  </w:font>
  <w:font w:name="Tempus Sans ITC">
    <w:panose1 w:val="04020404030D07020202"/>
    <w:charset w:val="00"/>
    <w:family w:val="auto"/>
    <w:pitch w:val="default"/>
    <w:sig w:usb0="00000003" w:usb1="00000000" w:usb2="00000000" w:usb3="00000000" w:csb0="20000001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宋徽宗瘦金体">
    <w:panose1 w:val="00000500000000000000"/>
    <w:charset w:val="86"/>
    <w:family w:val="auto"/>
    <w:pitch w:val="default"/>
    <w:sig w:usb0="00000001" w:usb1="080E0810" w:usb2="00000012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bookmarkStart w:id="0" w:name="_GoBack"/>
    <w:bookmarkEnd w:id="0"/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4"/>
                              <w:szCs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Aj&#10;0coStwEAAFcDAAAOAAAAAAAAAAEAIAAAAB4BAABkcnMvZTJvRG9jLnhtbFBLBQYAAAAABgAGAFkB&#10;AABH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4"/>
                        <w:szCs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2B43A28"/>
    <w:rsid w:val="067D17AE"/>
    <w:rsid w:val="06BE7EFC"/>
    <w:rsid w:val="07AF2881"/>
    <w:rsid w:val="0EB97A43"/>
    <w:rsid w:val="0EBD2122"/>
    <w:rsid w:val="0FD027A8"/>
    <w:rsid w:val="11B71E6A"/>
    <w:rsid w:val="129C6B66"/>
    <w:rsid w:val="12DB3783"/>
    <w:rsid w:val="13C84ED5"/>
    <w:rsid w:val="1AAF0063"/>
    <w:rsid w:val="1BE140DE"/>
    <w:rsid w:val="248C197D"/>
    <w:rsid w:val="252959AF"/>
    <w:rsid w:val="277A6671"/>
    <w:rsid w:val="288C5A55"/>
    <w:rsid w:val="2DD76024"/>
    <w:rsid w:val="2EF50E6E"/>
    <w:rsid w:val="32522995"/>
    <w:rsid w:val="33EB6CFF"/>
    <w:rsid w:val="3B625C0A"/>
    <w:rsid w:val="3BEB1C56"/>
    <w:rsid w:val="3CEE1963"/>
    <w:rsid w:val="3D4231F6"/>
    <w:rsid w:val="4D3D3DDC"/>
    <w:rsid w:val="512260B4"/>
    <w:rsid w:val="58445C7E"/>
    <w:rsid w:val="66AF0CE5"/>
    <w:rsid w:val="6E3D0FF9"/>
    <w:rsid w:val="6E5B14A6"/>
    <w:rsid w:val="72497460"/>
    <w:rsid w:val="73203447"/>
    <w:rsid w:val="7BB51E06"/>
    <w:rsid w:val="7C387F7C"/>
    <w:rsid w:val="7F4039DB"/>
  </w:rsids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character" w:customStyle="1" w:styleId="6">
    <w:name w:val="font11"/>
    <w:basedOn w:val="4"/>
    <w:qFormat/>
    <w:uiPriority w:val="0"/>
    <w:rPr>
      <w:rFonts w:ascii="font-weight : 400" w:hAnsi="font-weight : 400" w:eastAsia="font-weight : 400" w:cs="font-weight : 400"/>
      <w:color w:val="000000"/>
      <w:sz w:val="18"/>
      <w:szCs w:val="18"/>
      <w:u w:val="none"/>
    </w:rPr>
  </w:style>
  <w:style w:type="character" w:customStyle="1" w:styleId="7">
    <w:name w:val="font41"/>
    <w:basedOn w:val="4"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8">
    <w:name w:val="font01"/>
    <w:basedOn w:val="4"/>
    <w:uiPriority w:val="0"/>
    <w:rPr>
      <w:rFonts w:ascii="Calibri" w:hAnsi="Calibri" w:cs="Calibri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2020-06-05T07:21:00Z</cp:lastPrinted>
  <dcterms:modified xsi:type="dcterms:W3CDTF">2021-06-29T10:00:06Z</dcterms:modified>
  <dc:title>附件3：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