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ascii="仿宋_GB2312" w:eastAsia="仿宋_GB2312"/>
          <w:sz w:val="32"/>
          <w:szCs w:val="32"/>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石家庄市民族宗教事务局部门</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2021年度整体支出绩效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市委市政府《关于全面落实预算绩效管理的实施意见》（石发﹝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市民族宗教部门</w:t>
      </w:r>
      <w:r>
        <w:rPr>
          <w:rFonts w:hint="eastAsia" w:ascii="仿宋" w:hAnsi="仿宋" w:eastAsia="仿宋"/>
          <w:sz w:val="32"/>
          <w:szCs w:val="32"/>
          <w:lang w:val="en-US" w:eastAsia="zh-CN"/>
        </w:rPr>
        <w:t>2021年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widowControl w:val="0"/>
        <w:wordWrap/>
        <w:adjustRightInd w:val="0"/>
        <w:snapToGrid w:val="0"/>
        <w:spacing w:line="560" w:lineRule="exact"/>
        <w:ind w:left="0" w:leftChars="0" w:right="0" w:firstLine="643" w:firstLineChars="200"/>
        <w:textAlignment w:val="auto"/>
        <w:outlineLvl w:val="9"/>
        <w:rPr>
          <w:rFonts w:hint="eastAsia" w:ascii="仿宋_GB2312" w:hAnsi="仿宋" w:eastAsia="仿宋_GB2312"/>
          <w:sz w:val="32"/>
          <w:szCs w:val="32"/>
        </w:rPr>
      </w:pPr>
      <w:r>
        <w:rPr>
          <w:rFonts w:hint="eastAsia" w:ascii="仿宋" w:hAnsi="仿宋" w:eastAsia="仿宋"/>
          <w:b/>
          <w:bCs/>
          <w:sz w:val="32"/>
          <w:szCs w:val="32"/>
          <w:lang w:val="en-US" w:eastAsia="zh-CN"/>
        </w:rPr>
        <w:t>1、主要职责：</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（1）贯彻执行上级民族宗教工作的方针、政策，组织开展民族宗教理论、政策及重大问题的调查研究，提出政策性意见和建议。</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（2）负责指导有关部门、有关领域落实民族宗教政策，促进民族宗教工作开展。</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（3）负责起草民族宗教方面的地方性法规、政府规章草案，并督促检查落实情况，保障少数民族和信教群众的合法权益。</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（4）负责组织指导民族宗教政策、民族宗教法律法规和民族宗教基本知识的宣传教育；承办民族团结进步表彰活动，组织协调民族自治地方重大庆典活动。</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（5）负责协调、指导《中华人民共和国民族区域自治法》的贯彻实施。</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（6）研究提出协调民族关系的工作建议，协调处理民族关系中的重大事件，参与协调民族地区的社会稳定工作。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（7）参与拟定少数民族和民族地方经济社会相关领域的发展规划，并监督实施。</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（8）分析少数民族和民族地方经济社会发展中的重大问题并提出政策建议；管理少数民族和民族地方专项资金，组织协调民族地方科技发展、对口支援、经济技术合作等有关工作。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（9）负责指导少数民族语言文字的翻译、出版和民族古籍的搜集、整理、出版有关工作；承办民族统计工作。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（10）负责协调民族宗教领域对外和对港澳台的交流与合作有关工作；参与涉及民族宗教事务对外宣传工作。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（11）参与拟定少数民族人才队伍规划，帮助有关部门做好少数民族干部的培养、教育和使用工作。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（12）依法对宗教事务进行管理，依法保护公民的宗教信仰自由和正常的宗教活动，维护宗教界合法权益，促进宗教关系和谐。</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13）指导宗教团体依法依章开展活动，指导宗教团体加强自身建设，帮助宗教团体培养宗教教职人员；协助做好宗教院校有关工作；推动宗教团体在宗教界开展爱国主义、社会主义、拥护祖国统一和民族团结的自我教育；办理宗教团体需由政府解决或协调的有关事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（14）负责引导、促进宗教团体在法律、法规和政策范围内的活动，防范利用宗教进行非法、违法活动，抵御境外利用宗教进行的渗透活动。</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（15）负责指导、协调、监督管理宗教界依法开展公益、慈善事业；团结和动员广大信教群众为改革开放和经济建设服务。</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（16）负责指导各县（市）、区政府及时处理民族宗教方面的突发事件和影响社会稳定的问题。</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（17）承办市政府交办的其他事项。</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2、机构情况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部门预算安排单位名称为石家庄市民族宗教事务局，单位性质为行政单位，单位内设职能处室有：办公室、民族科、宗教一科、宗教二科、政策法规科。</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3、人员情况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我单位2021年行政编制26人，事业编制5人。2021年末实有在职人员36人（含事业编5人），退休27人，离休2人。</w:t>
      </w: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仿宋"/>
          <w:color w:val="auto"/>
          <w:kern w:val="2"/>
          <w:sz w:val="32"/>
          <w:szCs w:val="32"/>
          <w:lang w:val="en-US" w:eastAsia="zh-CN" w:bidi="ar-SA"/>
        </w:rPr>
      </w:pPr>
      <w:r>
        <w:rPr>
          <w:rFonts w:hint="eastAsia" w:ascii="仿宋" w:hAnsi="仿宋" w:eastAsia="仿宋"/>
          <w:b/>
          <w:bCs/>
          <w:sz w:val="32"/>
          <w:szCs w:val="32"/>
          <w:lang w:val="en-US" w:eastAsia="zh-CN"/>
        </w:rPr>
        <w:t>资产情况</w:t>
      </w:r>
    </w:p>
    <w:p>
      <w:pPr>
        <w:widowControl w:val="0"/>
        <w:numPr>
          <w:ilvl w:val="0"/>
          <w:numId w:val="0"/>
        </w:numPr>
        <w:wordWrap/>
        <w:adjustRightInd w:val="0"/>
        <w:snapToGrid w:val="0"/>
        <w:spacing w:line="560" w:lineRule="exact"/>
        <w:ind w:right="0" w:rightChars="0"/>
        <w:textAlignment w:val="auto"/>
        <w:outlineLvl w:val="9"/>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 xml:space="preserve">    截至2021年12月31日止，固定资产原值137.16万元，固定资产净值85.68万元，无形资产原值1.78万元，无形资产净值1.41万元，流动资产229.24万元，负债0.12万元，2021年未，净资产合计316.21万元。</w:t>
      </w:r>
    </w:p>
    <w:p>
      <w:pPr>
        <w:widowControl w:val="0"/>
        <w:numPr>
          <w:ilvl w:val="0"/>
          <w:numId w:val="2"/>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widowControl/>
        <w:spacing w:line="448" w:lineRule="atLeast"/>
        <w:ind w:firstLine="640" w:firstLineChars="200"/>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2021年初财政预算收支1511.18万元，决算收支1262.76万元，支出占比达83.56%。本年一般预算财政拨款收入1253.96万元，其中人员经费796.41万元，占财政拨款收入的63.51%，日常公用经费82.39万元，占财政拨款收入的6.57%，专项经费375.16万元，占财政拨款收入的29.92%。2021年度一般预算财政拨款决算支出1029.84万元，基本支出654.67万元，占支出的63.57%（人员经费支出572.29万元、日常公用经费支出82.38万元），专项经费支出375.16万元，占支出的36.43%。</w:t>
      </w:r>
    </w:p>
    <w:p>
      <w:pPr>
        <w:widowControl/>
        <w:spacing w:line="448" w:lineRule="atLeast"/>
        <w:ind w:firstLine="640" w:firstLineChars="200"/>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财政拨款中，人员经费所占比重较大，主要用于发放在职人员和离休人员工资。</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widowControl/>
        <w:spacing w:line="448" w:lineRule="atLeast"/>
        <w:ind w:firstLine="640" w:firstLineChars="200"/>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支出绩效目标</w:t>
      </w:r>
    </w:p>
    <w:p>
      <w:pPr>
        <w:widowControl/>
        <w:spacing w:line="448" w:lineRule="atLeast"/>
        <w:ind w:firstLine="640" w:firstLineChars="200"/>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2021年，市民宗局认真学习贯彻习近平总书记关于加强和改进民族宗教工作重要思想，全面落实中央、省委、市委关于民族宗教工作的新要求、新部署，推动我市民族宗教工作实现高质量发展。在全年绩效目标指引下，深入开展民族团结进步创建，不断铸牢中华民族共同体意识；深入开展宗教领域专项整治和系统治理，解决了一大批多年想解决而没有解决的历史遗留问题；深入开展各级宗教干部、宗教教职人员教育培训活动，有效提升宗教干部、教职人员队伍整体素质，按计划完成了全年绩效目标。</w:t>
      </w:r>
    </w:p>
    <w:p>
      <w:pPr>
        <w:widowControl/>
        <w:spacing w:line="448" w:lineRule="atLeast"/>
        <w:ind w:firstLine="640" w:firstLineChars="200"/>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绩效指标：</w:t>
      </w:r>
    </w:p>
    <w:p>
      <w:pPr>
        <w:widowControl/>
        <w:spacing w:line="448" w:lineRule="atLeast"/>
        <w:ind w:firstLine="640" w:firstLineChars="200"/>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贯彻执行国家关于少数民族工作的方针政策，协调处理涉及民族关系的有关事宜，开展民族团结进步创建活动，监督办理少数民族权益保障事宜。贯彻执行宣传国家关于宗教工作的方针政策，监督检查宗教活动场所，创建和谐寺观教堂，加强宗教团体建设，培训宗教工作干部，监控、遏制天主教地下分子的非法活动，抵御境外利用宗教渗透，协同管理宗教界人员对外交流等涉外事宜。</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color w:val="auto"/>
          <w:sz w:val="32"/>
          <w:szCs w:val="32"/>
          <w:lang w:val="en-US" w:eastAsia="zh-CN"/>
        </w:rPr>
        <w:t>按照《石家庄市财政局关于开展2021年度专项资金绩效自评工作的通知》要求，根据局领导批示，我局由主管财务副局长牵头，各处室负责人配合，对2021年各专项资金使用效益和管理情况进行绩效自评。年初，对各项资金进行了绩效目标编报，规定了资金使用范围，达到预期目标及支出进度安排。资金下达后，我局将资金相关情况传达到各主管业务处室，由各业务处室根据工作计划严格按要求执行预算安排。具体资金使用由各处室上报局机关，经局领导批准后，财务室按要求进行支付。每一环节由相关处室进行把关，确保财政资金使用效益最大化。</w:t>
      </w:r>
      <w:r>
        <w:rPr>
          <w:rFonts w:hint="eastAsia" w:ascii="仿宋" w:hAnsi="仿宋" w:eastAsia="仿宋" w:cs="仿宋"/>
          <w:sz w:val="32"/>
          <w:szCs w:val="32"/>
          <w:lang w:eastAsia="zh-CN"/>
        </w:rPr>
        <w:t>根据</w:t>
      </w:r>
      <w:r>
        <w:rPr>
          <w:rFonts w:hint="eastAsia" w:ascii="仿宋" w:hAnsi="仿宋" w:eastAsia="仿宋" w:cs="仿宋"/>
          <w:sz w:val="32"/>
          <w:szCs w:val="32"/>
          <w:lang w:val="en-US" w:eastAsia="zh-CN"/>
        </w:rPr>
        <w:t>2021年初设定的绩效目标情况和年底各绩效指标完成情况进行了核实分析，按规定填报《市级部门预算项目绩效自评表》，并形成了绩效自评工作报告。</w:t>
      </w:r>
    </w:p>
    <w:p>
      <w:pPr>
        <w:pStyle w:val="2"/>
        <w:rPr>
          <w:rFonts w:hint="eastAsia"/>
          <w:lang w:eastAsia="zh-CN"/>
        </w:rPr>
      </w:pP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pStyle w:val="3"/>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eastAsia="zh-CN"/>
        </w:rPr>
        <w:t>按照资金“谁分配、谁使用、谁负责”原则，切实加强资金使用单位及科室的主体责任，</w:t>
      </w:r>
      <w:r>
        <w:rPr>
          <w:rFonts w:hint="eastAsia" w:ascii="仿宋" w:hAnsi="仿宋" w:eastAsia="仿宋" w:cs="仿宋"/>
          <w:b w:val="0"/>
          <w:bCs w:val="0"/>
          <w:sz w:val="32"/>
          <w:szCs w:val="32"/>
          <w:lang w:val="en-US" w:eastAsia="zh-CN"/>
        </w:rPr>
        <w:t>绩效自评要以年初预算确定的项目绩效目标和绩效指标为依据，逐项进行对比分析，由局财务牵头，各资金单位和科室开展绩效自评工作。</w:t>
      </w:r>
    </w:p>
    <w:p>
      <w:pPr>
        <w:pStyle w:val="3"/>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3" w:firstLineChars="200"/>
        <w:textAlignment w:val="auto"/>
        <w:rPr>
          <w:rFonts w:hint="eastAsia" w:ascii="黑体" w:hAnsi="黑体" w:eastAsia="黑体"/>
          <w:b/>
          <w:bCs/>
          <w:sz w:val="32"/>
          <w:szCs w:val="32"/>
          <w:lang w:eastAsia="zh-CN"/>
        </w:rPr>
      </w:pP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keepNext w:val="0"/>
        <w:keepLines w:val="0"/>
        <w:pageBreakBefore w:val="0"/>
        <w:widowControl w:val="0"/>
        <w:numPr>
          <w:ilvl w:val="0"/>
          <w:numId w:val="4"/>
        </w:numPr>
        <w:kinsoku/>
        <w:wordWrap/>
        <w:overflowPunct/>
        <w:topLinePunct w:val="0"/>
        <w:autoSpaceDE/>
        <w:autoSpaceDN/>
        <w:bidi w:val="0"/>
        <w:adjustRightInd/>
        <w:snapToGrid/>
        <w:spacing w:beforeAutospacing="0" w:afterAutospacing="0" w:line="560" w:lineRule="exact"/>
        <w:ind w:left="0" w:leftChars="0" w:right="0" w:rightChars="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ind w:firstLine="640" w:firstLineChars="200"/>
        <w:rPr>
          <w:rFonts w:hint="eastAsia" w:ascii="仿宋" w:hAnsi="仿宋" w:eastAsia="仿宋" w:cs="仿宋"/>
          <w:b w:val="0"/>
          <w:bCs w:val="0"/>
          <w:kern w:val="0"/>
          <w:sz w:val="32"/>
          <w:szCs w:val="32"/>
          <w:lang w:val="en-US" w:eastAsia="zh-CN" w:bidi="ar-SA"/>
        </w:rPr>
      </w:pPr>
      <w:r>
        <w:rPr>
          <w:rFonts w:hint="eastAsia" w:ascii="仿宋" w:hAnsi="仿宋" w:eastAsia="仿宋" w:cs="仿宋"/>
          <w:b w:val="0"/>
          <w:bCs w:val="0"/>
          <w:kern w:val="0"/>
          <w:sz w:val="32"/>
          <w:szCs w:val="32"/>
          <w:lang w:val="en-US" w:eastAsia="zh-CN" w:bidi="ar-SA"/>
        </w:rPr>
        <w:t>2021年预算基本上按进度执行。本部门当年实际收入 1262.75万元，支出 1050.38 万元。其中，人员经费支出 572.29 万元，公用经费支出102.93 万元，项目经费支出 375.16 万元，整体支出情况达到了年初绩效目标。</w:t>
      </w:r>
    </w:p>
    <w:p>
      <w:pPr>
        <w:ind w:firstLine="640" w:firstLineChars="200"/>
        <w:rPr>
          <w:rFonts w:hint="eastAsia" w:ascii="仿宋" w:hAnsi="仿宋" w:eastAsia="仿宋" w:cs="仿宋"/>
          <w:b w:val="0"/>
          <w:bCs w:val="0"/>
          <w:kern w:val="0"/>
          <w:sz w:val="32"/>
          <w:szCs w:val="32"/>
          <w:lang w:val="en-US" w:eastAsia="zh-CN" w:bidi="ar-SA"/>
        </w:rPr>
      </w:pPr>
      <w:r>
        <w:rPr>
          <w:rFonts w:hint="eastAsia" w:ascii="仿宋" w:hAnsi="仿宋" w:eastAsia="仿宋" w:cs="仿宋"/>
          <w:b w:val="0"/>
          <w:bCs w:val="0"/>
          <w:kern w:val="0"/>
          <w:sz w:val="32"/>
          <w:szCs w:val="32"/>
          <w:lang w:val="en-US" w:eastAsia="zh-CN" w:bidi="ar-SA"/>
        </w:rPr>
        <w:t>人员经费和公用经费的支出保障了部门的运转及工作的需要，满足了日常办公需求，为部门正常开展工作提供了有力保障；项目经费的有效执行有力支持了我单位行使部门职能，发挥部门作用。创建和谐寺观教堂经费、民族宗教工作会议经费、五大宗教团体办公经费和宗教团体办公房屋租赁经费，为我单位贯彻执行党和国家关于宗教工作的基本方针，大力开展和谐寺观教堂和“双创四建”活动，深入推进我国宗教中国化、增进宗教界人士和广大信教群众对伟大祖国、中华民族、中华文化、中国共产党、中国特色社会主义的认同感提供了经费保障。基督教工作专项经费、天主教爱国会专项工作经费、回民公墓临时用地土地租赁费等专项经费为我部门发挥好民族宗教工作桥梁纽带作用，防范化解民族宗教领域风险隐患，增强增进民族宗教领域和谐稳定提供了重要保障。在专项经费的有力支持下，我部门各项工作进展顺利，圆满完成了年初制定的任务目标。</w:t>
      </w:r>
    </w:p>
    <w:p>
      <w:pPr>
        <w:pStyle w:val="2"/>
        <w:rPr>
          <w:rFonts w:hint="default"/>
          <w:lang w:val="en-US"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ind w:firstLine="640" w:firstLineChars="200"/>
        <w:rPr>
          <w:rFonts w:hint="eastAsia" w:ascii="仿宋" w:hAnsi="仿宋" w:eastAsia="仿宋" w:cs="仿宋"/>
          <w:b w:val="0"/>
          <w:bCs w:val="0"/>
          <w:kern w:val="0"/>
          <w:sz w:val="32"/>
          <w:szCs w:val="32"/>
          <w:lang w:val="en-US" w:eastAsia="zh-CN" w:bidi="ar-SA"/>
        </w:rPr>
      </w:pPr>
      <w:r>
        <w:rPr>
          <w:rFonts w:hint="eastAsia" w:ascii="仿宋" w:hAnsi="仿宋" w:eastAsia="仿宋" w:cs="仿宋"/>
          <w:b w:val="0"/>
          <w:bCs w:val="0"/>
          <w:kern w:val="0"/>
          <w:sz w:val="32"/>
          <w:szCs w:val="32"/>
          <w:lang w:val="en-US" w:eastAsia="zh-CN" w:bidi="ar-SA"/>
        </w:rPr>
        <w:t>通过对2021年度专项项目进行绩效自评，我部门9个项目，产出和效果指标都全部完成，完成率较好，但也存在部分指标设置不科学、不合理的问题。特别是民族宗教工作会议经费，预算数是7万元，实际支出4.86万元，</w:t>
      </w:r>
      <w:r>
        <w:rPr>
          <w:rFonts w:hint="eastAsia" w:ascii="仿宋" w:hAnsi="仿宋" w:eastAsia="仿宋" w:cs="仿宋"/>
          <w:b w:val="0"/>
          <w:bCs w:val="0"/>
          <w:kern w:val="0"/>
          <w:sz w:val="32"/>
          <w:szCs w:val="32"/>
          <w:lang w:val="en-US" w:eastAsia="zh-CN" w:bidi="ar-SA"/>
        </w:rPr>
        <w:t>支出进度仅为70%左右。虽然有疫情影响等诸多不利原因，但也反映出绩效目标设定缺乏全面综合考虑，预算支出不及时等问题。针对此问题，我单位下一步将进一步优化。</w:t>
      </w:r>
      <w:bookmarkStart w:id="0" w:name="_GoBack"/>
      <w:bookmarkEnd w:id="0"/>
      <w:r>
        <w:rPr>
          <w:rFonts w:hint="eastAsia" w:ascii="仿宋" w:hAnsi="仿宋" w:eastAsia="仿宋" w:cs="仿宋"/>
          <w:b w:val="0"/>
          <w:bCs w:val="0"/>
          <w:kern w:val="0"/>
          <w:sz w:val="32"/>
          <w:szCs w:val="32"/>
          <w:lang w:val="en-US" w:eastAsia="zh-CN" w:bidi="ar-SA"/>
        </w:rPr>
        <w:t>今后将全面加强资金管理，加快结转资金支出进度，确保及时支付。同时，举一反三，精打细算，进一步增强预算的科学性，提高预算支出率，确保实现全优的目标。</w:t>
      </w:r>
    </w:p>
    <w:p>
      <w:pPr>
        <w:widowControl w:val="0"/>
        <w:numPr>
          <w:ilvl w:val="0"/>
          <w:numId w:val="5"/>
        </w:numPr>
        <w:wordWrap/>
        <w:spacing w:line="560" w:lineRule="exact"/>
        <w:ind w:left="0" w:leftChars="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评价结论和评价等级</w:t>
      </w:r>
    </w:p>
    <w:p>
      <w:pPr>
        <w:pStyle w:val="2"/>
        <w:numPr>
          <w:ilvl w:val="0"/>
          <w:numId w:val="0"/>
        </w:numPr>
        <w:ind w:firstLine="640" w:firstLineChars="200"/>
        <w:rPr>
          <w:rFonts w:hint="eastAsia" w:ascii="仿宋" w:hAnsi="仿宋" w:eastAsia="仿宋" w:cs="仿宋"/>
          <w:b w:val="0"/>
          <w:bCs w:val="0"/>
          <w:kern w:val="0"/>
          <w:sz w:val="32"/>
          <w:szCs w:val="32"/>
          <w:lang w:val="en-US" w:eastAsia="zh-CN" w:bidi="ar-SA"/>
        </w:rPr>
      </w:pPr>
      <w:r>
        <w:rPr>
          <w:rFonts w:hint="eastAsia" w:ascii="仿宋" w:hAnsi="仿宋" w:eastAsia="仿宋" w:cs="仿宋"/>
          <w:b w:val="0"/>
          <w:bCs w:val="0"/>
          <w:kern w:val="0"/>
          <w:sz w:val="32"/>
          <w:szCs w:val="32"/>
          <w:lang w:val="en-US" w:eastAsia="zh-CN" w:bidi="ar-SA"/>
        </w:rPr>
        <w:t>根据本部门2021年度专项经费执行情况和项目绩效情况，自评得分97分，自我评价为优秀。</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ind w:firstLine="640" w:firstLineChars="200"/>
        <w:rPr>
          <w:rFonts w:hint="eastAsia" w:ascii="仿宋" w:hAnsi="仿宋" w:eastAsia="仿宋" w:cs="仿宋"/>
          <w:b w:val="0"/>
          <w:bCs w:val="0"/>
          <w:kern w:val="0"/>
          <w:sz w:val="32"/>
          <w:szCs w:val="32"/>
          <w:lang w:val="en-US" w:eastAsia="zh-CN" w:bidi="ar-SA"/>
        </w:rPr>
      </w:pPr>
      <w:r>
        <w:rPr>
          <w:rFonts w:hint="eastAsia" w:ascii="仿宋" w:hAnsi="仿宋" w:eastAsia="仿宋" w:cs="仿宋"/>
          <w:b w:val="0"/>
          <w:bCs w:val="0"/>
          <w:kern w:val="0"/>
          <w:sz w:val="32"/>
          <w:szCs w:val="32"/>
          <w:lang w:val="en-US" w:eastAsia="zh-CN" w:bidi="ar-SA"/>
        </w:rPr>
        <w:t>通过此次绩效自评也发现，部分预算绩效目标设定还不够科学，个别项目绩效评价指标不够清晰准确，不够量化，难于评价。其原因是对于个别项目评价点定位不够准确，对于项目可操作性研究不够深入，评价等级划分不够合理。</w:t>
      </w:r>
    </w:p>
    <w:p>
      <w:pPr>
        <w:widowControl w:val="0"/>
        <w:numPr>
          <w:ilvl w:val="0"/>
          <w:numId w:val="6"/>
        </w:numPr>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ind w:firstLine="640" w:firstLineChars="200"/>
        <w:rPr>
          <w:rFonts w:hint="eastAsia" w:ascii="仿宋" w:hAnsi="仿宋" w:eastAsia="仿宋" w:cs="仿宋"/>
          <w:b w:val="0"/>
          <w:bCs w:val="0"/>
          <w:kern w:val="0"/>
          <w:sz w:val="32"/>
          <w:szCs w:val="32"/>
          <w:lang w:val="en-US" w:eastAsia="zh-CN" w:bidi="ar-SA"/>
        </w:rPr>
      </w:pPr>
      <w:r>
        <w:rPr>
          <w:rFonts w:hint="eastAsia" w:ascii="仿宋" w:hAnsi="仿宋" w:eastAsia="仿宋" w:cs="仿宋"/>
          <w:b w:val="0"/>
          <w:bCs w:val="0"/>
          <w:kern w:val="0"/>
          <w:sz w:val="32"/>
          <w:szCs w:val="32"/>
          <w:lang w:val="en-US" w:eastAsia="zh-CN" w:bidi="ar-SA"/>
        </w:rPr>
        <w:t>今后，我局将进一步加强预算资金管理，对预算的事前、事中、事后进行全过程控制，加大对预算编制与执行的监督管理力度，提高预算资金使用效率。同时，提高单位人员对预算资金使用效益的认识，把预算资金是否发挥使用效益与各岗位是否履职尽责相结合，充分发挥财政资金的经济效益。</w:t>
      </w:r>
    </w:p>
    <w:p>
      <w:pPr>
        <w:ind w:firstLine="640" w:firstLineChars="200"/>
        <w:rPr>
          <w:rFonts w:hint="eastAsia" w:ascii="仿宋" w:hAnsi="仿宋" w:eastAsia="仿宋" w:cs="仿宋"/>
          <w:b w:val="0"/>
          <w:bCs w:val="0"/>
          <w:kern w:val="0"/>
          <w:sz w:val="32"/>
          <w:szCs w:val="32"/>
          <w:lang w:val="en-US" w:eastAsia="zh-CN" w:bidi="ar-SA"/>
        </w:rPr>
      </w:pPr>
      <w:r>
        <w:rPr>
          <w:rFonts w:hint="eastAsia" w:ascii="仿宋" w:hAnsi="仿宋" w:eastAsia="仿宋" w:cs="仿宋"/>
          <w:b w:val="0"/>
          <w:bCs w:val="0"/>
          <w:kern w:val="0"/>
          <w:sz w:val="32"/>
          <w:szCs w:val="32"/>
          <w:lang w:val="en-US" w:eastAsia="zh-CN" w:bidi="ar-SA"/>
        </w:rPr>
        <w:t>针对绩效指标设定中存在的问题，在以后的工作中，要根据年度工作计划制定具体、可衡量、可实现的绩效目标，明确支出的必要性、可行性和有效性，并围绕绩效目标编制清晰、量化、便于考核的绩效指标。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pPr>
        <w:widowControl w:val="0"/>
        <w:wordWrap/>
        <w:adjustRightInd w:val="0"/>
        <w:snapToGrid w:val="0"/>
        <w:spacing w:line="560" w:lineRule="exact"/>
        <w:ind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pPr>
        <w:ind w:firstLine="640" w:firstLineChars="200"/>
        <w:rPr>
          <w:rFonts w:hint="eastAsia" w:ascii="仿宋_GB2312" w:hAnsi="仿宋" w:eastAsia="仿宋_GB2312" w:cs="仿宋"/>
          <w:color w:val="auto"/>
          <w:sz w:val="32"/>
          <w:szCs w:val="32"/>
          <w:highlight w:val="none"/>
          <w:lang w:val="en-US" w:eastAsia="zh-CN"/>
        </w:rPr>
      </w:pPr>
    </w:p>
    <w:tbl>
      <w:tblPr>
        <w:tblStyle w:val="6"/>
        <w:tblW w:w="82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2767"/>
        <w:gridCol w:w="1635"/>
        <w:gridCol w:w="21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姓名</w:t>
            </w:r>
          </w:p>
        </w:tc>
        <w:tc>
          <w:tcPr>
            <w:tcW w:w="2767" w:type="dxa"/>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工作单位</w:t>
            </w:r>
          </w:p>
        </w:tc>
        <w:tc>
          <w:tcPr>
            <w:tcW w:w="1635" w:type="dxa"/>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职务</w:t>
            </w:r>
          </w:p>
        </w:tc>
        <w:tc>
          <w:tcPr>
            <w:tcW w:w="2175" w:type="dxa"/>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王凤余</w:t>
            </w:r>
          </w:p>
        </w:tc>
        <w:tc>
          <w:tcPr>
            <w:tcW w:w="2767" w:type="dxa"/>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市民宗局</w:t>
            </w:r>
          </w:p>
        </w:tc>
        <w:tc>
          <w:tcPr>
            <w:tcW w:w="1635" w:type="dxa"/>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副局长</w:t>
            </w:r>
          </w:p>
        </w:tc>
        <w:tc>
          <w:tcPr>
            <w:tcW w:w="2175" w:type="dxa"/>
            <w:vAlign w:val="top"/>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王凤余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张中华</w:t>
            </w:r>
          </w:p>
        </w:tc>
        <w:tc>
          <w:tcPr>
            <w:tcW w:w="2767" w:type="dxa"/>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市民宗局</w:t>
            </w:r>
          </w:p>
        </w:tc>
        <w:tc>
          <w:tcPr>
            <w:tcW w:w="1635" w:type="dxa"/>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主任科员</w:t>
            </w:r>
          </w:p>
        </w:tc>
        <w:tc>
          <w:tcPr>
            <w:tcW w:w="2175" w:type="dxa"/>
            <w:vAlign w:val="top"/>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张中华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戴晓辉</w:t>
            </w:r>
          </w:p>
        </w:tc>
        <w:tc>
          <w:tcPr>
            <w:tcW w:w="2767" w:type="dxa"/>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市民宗局</w:t>
            </w:r>
          </w:p>
        </w:tc>
        <w:tc>
          <w:tcPr>
            <w:tcW w:w="1635" w:type="dxa"/>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科长</w:t>
            </w:r>
          </w:p>
        </w:tc>
        <w:tc>
          <w:tcPr>
            <w:tcW w:w="2175" w:type="dxa"/>
            <w:vAlign w:val="top"/>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戴晓辉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凌向军</w:t>
            </w:r>
          </w:p>
        </w:tc>
        <w:tc>
          <w:tcPr>
            <w:tcW w:w="2767" w:type="dxa"/>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市民宗局</w:t>
            </w:r>
          </w:p>
        </w:tc>
        <w:tc>
          <w:tcPr>
            <w:tcW w:w="1635" w:type="dxa"/>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科长</w:t>
            </w:r>
          </w:p>
        </w:tc>
        <w:tc>
          <w:tcPr>
            <w:tcW w:w="2175" w:type="dxa"/>
            <w:vAlign w:val="top"/>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凌向军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王坤艳</w:t>
            </w:r>
          </w:p>
        </w:tc>
        <w:tc>
          <w:tcPr>
            <w:tcW w:w="2767" w:type="dxa"/>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市民宗局</w:t>
            </w:r>
          </w:p>
        </w:tc>
        <w:tc>
          <w:tcPr>
            <w:tcW w:w="1635" w:type="dxa"/>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科长</w:t>
            </w:r>
          </w:p>
        </w:tc>
        <w:tc>
          <w:tcPr>
            <w:tcW w:w="2175" w:type="dxa"/>
            <w:vAlign w:val="top"/>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王坤艳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方秋玲</w:t>
            </w:r>
          </w:p>
        </w:tc>
        <w:tc>
          <w:tcPr>
            <w:tcW w:w="2767" w:type="dxa"/>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市民宗局</w:t>
            </w:r>
          </w:p>
        </w:tc>
        <w:tc>
          <w:tcPr>
            <w:tcW w:w="1635" w:type="dxa"/>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科长</w:t>
            </w:r>
          </w:p>
        </w:tc>
        <w:tc>
          <w:tcPr>
            <w:tcW w:w="2175" w:type="dxa"/>
            <w:vAlign w:val="top"/>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方秋玲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vAlign w:val="top"/>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左慈</w:t>
            </w:r>
          </w:p>
        </w:tc>
        <w:tc>
          <w:tcPr>
            <w:tcW w:w="2767" w:type="dxa"/>
            <w:vAlign w:val="top"/>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市民宗局</w:t>
            </w:r>
          </w:p>
        </w:tc>
        <w:tc>
          <w:tcPr>
            <w:tcW w:w="1635" w:type="dxa"/>
            <w:vAlign w:val="top"/>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科员</w:t>
            </w:r>
          </w:p>
        </w:tc>
        <w:tc>
          <w:tcPr>
            <w:tcW w:w="2175" w:type="dxa"/>
            <w:vAlign w:val="top"/>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左慈</w:t>
            </w:r>
          </w:p>
        </w:tc>
      </w:tr>
    </w:tbl>
    <w:p>
      <w:pPr>
        <w:ind w:firstLine="640" w:firstLineChars="200"/>
        <w:rPr>
          <w:rFonts w:hint="eastAsia" w:ascii="仿宋" w:hAnsi="仿宋" w:eastAsia="仿宋" w:cs="仿宋"/>
          <w:sz w:val="32"/>
          <w:szCs w:val="32"/>
        </w:rPr>
      </w:pPr>
    </w:p>
    <w:p>
      <w:pPr>
        <w:ind w:firstLine="640" w:firstLineChars="200"/>
        <w:rPr>
          <w:rFonts w:hint="eastAsia" w:ascii="仿宋" w:hAnsi="仿宋" w:eastAsia="仿宋" w:cs="仿宋"/>
          <w:sz w:val="32"/>
          <w:szCs w:val="32"/>
        </w:rPr>
      </w:pPr>
    </w:p>
    <w:p>
      <w:pPr>
        <w:ind w:firstLine="4480" w:firstLineChars="1400"/>
        <w:rPr>
          <w:rFonts w:hint="eastAsia" w:ascii="仿宋" w:hAnsi="仿宋" w:eastAsia="仿宋" w:cs="仿宋"/>
          <w:sz w:val="32"/>
          <w:szCs w:val="32"/>
          <w:lang w:eastAsia="zh-CN"/>
        </w:rPr>
      </w:pPr>
      <w:r>
        <w:rPr>
          <w:rFonts w:hint="eastAsia" w:ascii="仿宋" w:hAnsi="仿宋" w:eastAsia="仿宋" w:cs="仿宋"/>
          <w:sz w:val="32"/>
          <w:szCs w:val="32"/>
          <w:lang w:eastAsia="zh-CN"/>
        </w:rPr>
        <w:t>石家庄市民族宗教事务局</w:t>
      </w:r>
    </w:p>
    <w:p>
      <w:pPr>
        <w:ind w:firstLine="5120" w:firstLineChars="16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2022年3月22日</w:t>
      </w:r>
    </w:p>
    <w:p>
      <w:pPr>
        <w:ind w:firstLine="643" w:firstLineChars="200"/>
        <w:rPr>
          <w:rFonts w:hint="eastAsia" w:ascii="楷体" w:hAnsi="楷体" w:eastAsia="楷体" w:cs="楷体"/>
          <w:b/>
          <w:bCs/>
          <w:sz w:val="32"/>
          <w:szCs w:val="32"/>
        </w:rPr>
      </w:pPr>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Microsoft YaHei UI">
    <w:altName w:val="宋体"/>
    <w:panose1 w:val="020B0503020204020204"/>
    <w:charset w:val="86"/>
    <w:family w:val="auto"/>
    <w:pitch w:val="default"/>
    <w:sig w:usb0="00000000" w:usb1="00000000" w:usb2="00000016" w:usb3="00000000" w:csb0="0004001F" w:csb1="00000000"/>
  </w:font>
  <w:font w:name="Arial">
    <w:panose1 w:val="020B0604020202020204"/>
    <w:charset w:val="00"/>
    <w:family w:val="swiss"/>
    <w:pitch w:val="default"/>
    <w:sig w:usb0="E0002AFF" w:usb1="C0007843" w:usb2="00000009" w:usb3="00000000" w:csb0="400001FF" w:csb1="FFFF0000"/>
  </w:font>
  <w:font w:name="CESI仿宋-GB2312">
    <w:altName w:val="宋体"/>
    <w:panose1 w:val="02000500000000000000"/>
    <w:charset w:val="86"/>
    <w:family w:val="auto"/>
    <w:pitch w:val="default"/>
    <w:sig w:usb0="00000000" w:usb1="00000000" w:usb2="00000010" w:usb3="00000000" w:csb0="0004000F" w:csb1="00000000"/>
  </w:font>
  <w:font w:name="Microsoft JhengHei">
    <w:panose1 w:val="020B0604030504040204"/>
    <w:charset w:val="88"/>
    <w:family w:val="swiss"/>
    <w:pitch w:val="default"/>
    <w:sig w:usb0="00000087" w:usb1="28AF4000" w:usb2="00000016" w:usb3="00000000" w:csb0="00100009"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2414B86"/>
    <w:multiLevelType w:val="singleLevel"/>
    <w:tmpl w:val="62414B86"/>
    <w:lvl w:ilvl="0" w:tentative="0">
      <w:start w:val="4"/>
      <w:numFmt w:val="chineseCounting"/>
      <w:suff w:val="nothing"/>
      <w:lvlText w:val="%1、"/>
      <w:lvlJc w:val="left"/>
    </w:lvl>
  </w:abstractNum>
  <w:abstractNum w:abstractNumId="3">
    <w:nsid w:val="62414C8E"/>
    <w:multiLevelType w:val="singleLevel"/>
    <w:tmpl w:val="62414C8E"/>
    <w:lvl w:ilvl="0" w:tentative="0">
      <w:start w:val="2"/>
      <w:numFmt w:val="chineseCounting"/>
      <w:suff w:val="nothing"/>
      <w:lvlText w:val="（%1）"/>
      <w:lvlJc w:val="left"/>
    </w:lvl>
  </w:abstractNum>
  <w:abstractNum w:abstractNumId="4">
    <w:nsid w:val="6243FAD2"/>
    <w:multiLevelType w:val="singleLevel"/>
    <w:tmpl w:val="6243FAD2"/>
    <w:lvl w:ilvl="0" w:tentative="0">
      <w:start w:val="4"/>
      <w:numFmt w:val="decimal"/>
      <w:suff w:val="nothing"/>
      <w:lvlText w:val="%1、"/>
      <w:lvlJc w:val="left"/>
    </w:lvl>
  </w:abstractNum>
  <w:abstractNum w:abstractNumId="5">
    <w:nsid w:val="69E53B8C"/>
    <w:multiLevelType w:val="singleLevel"/>
    <w:tmpl w:val="69E53B8C"/>
    <w:lvl w:ilvl="0" w:tentative="0">
      <w:start w:val="2"/>
      <w:numFmt w:val="chineseCounting"/>
      <w:suff w:val="nothing"/>
      <w:lvlText w:val="（%1）"/>
      <w:lvlJc w:val="left"/>
      <w:rPr>
        <w:rFonts w:hint="eastAsia"/>
      </w:rPr>
    </w:lvl>
  </w:abstractNum>
  <w:num w:numId="1">
    <w:abstractNumId w:val="4"/>
  </w:num>
  <w:num w:numId="2">
    <w:abstractNumId w:val="5"/>
  </w:num>
  <w:num w:numId="3">
    <w:abstractNumId w:val="0"/>
  </w:num>
  <w:num w:numId="4">
    <w:abstractNumId w:val="1"/>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8A35CB"/>
    <w:rsid w:val="0AE65720"/>
    <w:rsid w:val="11E61A16"/>
    <w:rsid w:val="135E43C6"/>
    <w:rsid w:val="16EE048A"/>
    <w:rsid w:val="1A875622"/>
    <w:rsid w:val="1D3E4E83"/>
    <w:rsid w:val="1D9A2004"/>
    <w:rsid w:val="1F8E0D00"/>
    <w:rsid w:val="25502585"/>
    <w:rsid w:val="28D03CF1"/>
    <w:rsid w:val="28FA2525"/>
    <w:rsid w:val="2FD54A4C"/>
    <w:rsid w:val="31AE3FF0"/>
    <w:rsid w:val="34C94D6D"/>
    <w:rsid w:val="3D932C4B"/>
    <w:rsid w:val="40DD0737"/>
    <w:rsid w:val="44BE49B3"/>
    <w:rsid w:val="58AB054C"/>
    <w:rsid w:val="5969143E"/>
    <w:rsid w:val="5B985700"/>
    <w:rsid w:val="5C706794"/>
    <w:rsid w:val="5CEE18D1"/>
    <w:rsid w:val="5D8A2F20"/>
    <w:rsid w:val="5E873F64"/>
    <w:rsid w:val="64251F6E"/>
    <w:rsid w:val="66963EF0"/>
    <w:rsid w:val="6A625F56"/>
    <w:rsid w:val="6E8D534E"/>
    <w:rsid w:val="76D25D8A"/>
    <w:rsid w:val="782D4752"/>
    <w:rsid w:val="7B4D78F5"/>
    <w:rsid w:val="7CB71420"/>
    <w:rsid w:val="7F915B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2"/>
    <w:basedOn w:val="1"/>
    <w:next w:val="1"/>
    <w:unhideWhenUsed/>
    <w:qFormat/>
    <w:uiPriority w:val="0"/>
    <w:pPr>
      <w:spacing w:before="100" w:beforeLines="0" w:beforeAutospacing="1" w:after="100" w:afterLines="0" w:afterAutospacing="1"/>
      <w:jc w:val="left"/>
      <w:outlineLvl w:val="1"/>
    </w:pPr>
    <w:rPr>
      <w:rFonts w:hint="eastAsia" w:ascii="宋体" w:hAnsi="宋体" w:eastAsia="宋体" w:cs="Times New Roman"/>
      <w:b/>
      <w:kern w:val="0"/>
      <w:sz w:val="36"/>
      <w:szCs w:val="36"/>
    </w:rPr>
  </w:style>
  <w:style w:type="character" w:default="1" w:styleId="4">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toa heading"/>
    <w:basedOn w:val="1"/>
    <w:next w:val="1"/>
    <w:qFormat/>
    <w:uiPriority w:val="0"/>
    <w:pPr>
      <w:spacing w:before="120"/>
    </w:pPr>
    <w:rPr>
      <w:rFonts w:ascii="Arial" w:hAnsi="Arial" w:cs="Arial"/>
      <w:sz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fontstyle11"/>
    <w:basedOn w:val="4"/>
    <w:qFormat/>
    <w:uiPriority w:val="0"/>
    <w:rPr>
      <w:rFonts w:hint="eastAsia" w:ascii="仿宋" w:hAnsi="仿宋" w:eastAsia="仿宋" w:cs="仿宋"/>
      <w:color w:val="000000"/>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2024-12-25T06:30:23Z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