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中共石家庄市国防动员办公室党组</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val="en-US" w:eastAsia="zh-CN"/>
        </w:rPr>
        <w:t>关于2024年度全面依法治市工作总结的报告</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eastAsia"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napToGrid/>
        <w:spacing w:line="540" w:lineRule="exact"/>
        <w:ind w:right="0" w:rightChars="0"/>
        <w:jc w:val="left"/>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中共市委全面依法治市委员会办公室：</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38" w:firstLineChars="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24年是中华人民共和国成立75周年，是实现“十四五”规划目标任务的关键一年，</w:t>
      </w:r>
      <w:r>
        <w:rPr>
          <w:rFonts w:hint="eastAsia" w:ascii="仿宋_GB2312" w:hAnsi="仿宋_GB2312" w:eastAsia="仿宋_GB2312" w:cs="仿宋_GB2312"/>
          <w:sz w:val="32"/>
          <w:szCs w:val="32"/>
          <w:lang w:eastAsia="zh-CN"/>
        </w:rPr>
        <w:t>市国动办坚持以习近平新时代中国特色社会主义思想为指导，深入贯彻落实党的二十大和二十届二中、三中全会精神，全面贯彻习近平法治思想，</w:t>
      </w:r>
      <w:r>
        <w:rPr>
          <w:rFonts w:hint="eastAsia" w:ascii="仿宋_GB2312" w:hAnsi="仿宋_GB2312" w:eastAsia="仿宋_GB2312" w:cs="仿宋_GB2312"/>
          <w:sz w:val="32"/>
          <w:szCs w:val="32"/>
          <w:lang w:val="en-US" w:eastAsia="zh-CN"/>
        </w:rPr>
        <w:t>紧紧围绕市委市政府工作部署，在市委全面依法治市委员会的精心指导下，</w:t>
      </w:r>
      <w:r>
        <w:rPr>
          <w:rFonts w:hint="eastAsia" w:ascii="CESI仿宋-GB2312" w:hAnsi="CESI仿宋-GB2312" w:eastAsia="CESI仿宋-GB2312" w:cs="CESI仿宋-GB2312"/>
          <w:sz w:val="32"/>
          <w:szCs w:val="32"/>
          <w:lang w:eastAsia="zh-CN"/>
        </w:rPr>
        <w:t>深入推进依法行政，创新完善国防动员政策法规体系，持续加强法治队伍建设，严格规范公正文明执法，着力提升国防动员治理体系和治理能力现代化水平</w:t>
      </w:r>
      <w:r>
        <w:rPr>
          <w:rFonts w:hint="eastAsia" w:ascii="仿宋_GB2312" w:hAnsi="仿宋_GB2312" w:eastAsia="仿宋_GB2312" w:cs="仿宋_GB2312"/>
          <w:sz w:val="32"/>
          <w:szCs w:val="32"/>
          <w:lang w:val="en-US" w:eastAsia="zh-CN"/>
        </w:rPr>
        <w:t>。现将工作总结报告如下：</w:t>
      </w:r>
    </w:p>
    <w:p>
      <w:pPr>
        <w:keepNext w:val="0"/>
        <w:keepLines w:val="0"/>
        <w:pageBreakBefore w:val="0"/>
        <w:widowControl w:val="0"/>
        <w:kinsoku/>
        <w:wordWrap/>
        <w:overflowPunct/>
        <w:topLinePunct w:val="0"/>
        <w:autoSpaceDE/>
        <w:autoSpaceDN/>
        <w:bidi w:val="0"/>
        <w:adjustRightInd/>
        <w:snapToGrid/>
        <w:spacing w:line="540" w:lineRule="exact"/>
        <w:ind w:firstLine="632" w:firstLineChars="200"/>
        <w:jc w:val="left"/>
        <w:textAlignment w:val="auto"/>
        <w:rPr>
          <w:rFonts w:hint="eastAsia" w:ascii="黑体" w:hAnsi="黑体" w:eastAsia="黑体" w:cs="黑体"/>
          <w:sz w:val="32"/>
          <w:szCs w:val="32"/>
        </w:rPr>
      </w:pPr>
      <w:r>
        <w:rPr>
          <w:rFonts w:hint="eastAsia" w:ascii="黑体" w:hAnsi="黑体" w:eastAsia="黑体" w:cs="黑体"/>
          <w:sz w:val="32"/>
          <w:szCs w:val="32"/>
        </w:rPr>
        <w:t>一、</w:t>
      </w:r>
      <w:r>
        <w:rPr>
          <w:rFonts w:hint="eastAsia" w:ascii="黑体" w:hAnsi="黑体" w:eastAsia="黑体" w:cs="黑体"/>
          <w:sz w:val="32"/>
          <w:szCs w:val="32"/>
          <w:lang w:eastAsia="zh-CN"/>
        </w:rPr>
        <w:t>依法治市工作</w:t>
      </w:r>
      <w:r>
        <w:rPr>
          <w:rFonts w:hint="eastAsia" w:ascii="黑体" w:hAnsi="黑体" w:eastAsia="黑体" w:cs="黑体"/>
          <w:sz w:val="32"/>
          <w:szCs w:val="32"/>
        </w:rPr>
        <w:t>基本情况</w:t>
      </w:r>
    </w:p>
    <w:p>
      <w:pPr>
        <w:keepNext w:val="0"/>
        <w:keepLines w:val="0"/>
        <w:pageBreakBefore w:val="0"/>
        <w:widowControl w:val="0"/>
        <w:kinsoku/>
        <w:wordWrap/>
        <w:overflowPunct/>
        <w:topLinePunct w:val="0"/>
        <w:autoSpaceDE/>
        <w:autoSpaceDN/>
        <w:bidi w:val="0"/>
        <w:adjustRightInd/>
        <w:snapToGrid/>
        <w:spacing w:line="540" w:lineRule="exact"/>
        <w:ind w:firstLine="632" w:firstLineChars="200"/>
        <w:jc w:val="left"/>
        <w:textAlignment w:val="auto"/>
        <w:rPr>
          <w:rFonts w:hint="eastAsia" w:ascii="CESI楷体-GB2312" w:hAnsi="CESI楷体-GB2312" w:eastAsia="CESI楷体-GB2312" w:cs="CESI楷体-GB2312"/>
          <w:sz w:val="32"/>
          <w:szCs w:val="32"/>
          <w:lang w:eastAsia="zh-CN"/>
        </w:rPr>
      </w:pPr>
      <w:r>
        <w:rPr>
          <w:rFonts w:hint="eastAsia" w:ascii="CESI楷体-GB2312" w:hAnsi="CESI楷体-GB2312" w:eastAsia="CESI楷体-GB2312" w:cs="CESI楷体-GB2312"/>
          <w:sz w:val="32"/>
          <w:szCs w:val="32"/>
          <w:lang w:eastAsia="zh-CN"/>
        </w:rPr>
        <w:t>（一）坚持党对依法治市工作的领导</w:t>
      </w:r>
    </w:p>
    <w:p>
      <w:pPr>
        <w:keepNext w:val="0"/>
        <w:keepLines w:val="0"/>
        <w:pageBreakBefore w:val="0"/>
        <w:widowControl w:val="0"/>
        <w:kinsoku/>
        <w:wordWrap/>
        <w:overflowPunct/>
        <w:topLinePunct w:val="0"/>
        <w:autoSpaceDE/>
        <w:autoSpaceDN/>
        <w:bidi w:val="0"/>
        <w:adjustRightInd/>
        <w:snapToGrid/>
        <w:spacing w:line="540" w:lineRule="exact"/>
        <w:ind w:firstLine="632" w:firstLineChars="200"/>
        <w:jc w:val="left"/>
        <w:textAlignment w:val="auto"/>
        <w:rPr>
          <w:rFonts w:hint="eastAsia" w:ascii="CESI仿宋-GB2312" w:hAnsi="CESI仿宋-GB2312" w:eastAsia="CESI仿宋-GB2312" w:cs="CESI仿宋-GB2312"/>
          <w:sz w:val="32"/>
          <w:szCs w:val="32"/>
          <w:lang w:val="en-US" w:eastAsia="zh-CN"/>
        </w:rPr>
      </w:pPr>
      <w:r>
        <w:rPr>
          <w:rFonts w:hint="eastAsia" w:ascii="CESI仿宋-GB2312" w:hAnsi="CESI仿宋-GB2312" w:eastAsia="CESI仿宋-GB2312" w:cs="CESI仿宋-GB2312"/>
          <w:sz w:val="32"/>
          <w:szCs w:val="32"/>
          <w:lang w:val="en-US" w:eastAsia="zh-CN"/>
        </w:rPr>
        <w:t>始终坚持党对法治建设的集中统一领导，牢牢把握党的领导是社会主义法治最根本的保证。坚持党保证执法、支持司法、带头守法，充分发挥党总揽全局、协调各方的领导核心作用，确保法治建设的正确方向。</w:t>
      </w:r>
    </w:p>
    <w:p>
      <w:pPr>
        <w:pStyle w:val="11"/>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32" w:firstLineChars="200"/>
        <w:jc w:val="left"/>
        <w:textAlignment w:val="auto"/>
        <w:outlineLvl w:val="9"/>
        <w:rPr>
          <w:rFonts w:hint="eastAsia" w:ascii="CESI仿宋-GB2312" w:hAnsi="CESI仿宋-GB2312" w:eastAsia="CESI仿宋-GB2312" w:cs="CESI仿宋-GB2312"/>
          <w:sz w:val="32"/>
          <w:szCs w:val="32"/>
          <w:lang w:val="en" w:eastAsia="zh-CN"/>
        </w:rPr>
      </w:pPr>
      <w:r>
        <w:rPr>
          <w:rFonts w:hint="eastAsia" w:ascii="CESI仿宋-GB2312" w:hAnsi="CESI仿宋-GB2312" w:eastAsia="CESI仿宋-GB2312" w:cs="CESI仿宋-GB2312"/>
          <w:b/>
          <w:bCs/>
          <w:sz w:val="32"/>
          <w:szCs w:val="32"/>
          <w:lang w:val="en-US" w:eastAsia="zh-CN"/>
        </w:rPr>
        <w:t>1.</w:t>
      </w:r>
      <w:r>
        <w:rPr>
          <w:rFonts w:hint="eastAsia" w:ascii="CESI仿宋-GB2312" w:hAnsi="CESI仿宋-GB2312" w:eastAsia="CESI仿宋-GB2312" w:cs="CESI仿宋-GB2312"/>
          <w:b/>
          <w:bCs/>
          <w:sz w:val="32"/>
          <w:szCs w:val="32"/>
          <w:lang w:val="en" w:eastAsia="zh-CN"/>
        </w:rPr>
        <w:t>持续增强政治意识。</w:t>
      </w:r>
      <w:r>
        <w:rPr>
          <w:rFonts w:hint="eastAsia" w:ascii="CESI仿宋-GB2312" w:hAnsi="CESI仿宋-GB2312" w:eastAsia="CESI仿宋-GB2312" w:cs="CESI仿宋-GB2312"/>
          <w:sz w:val="32"/>
          <w:szCs w:val="32"/>
          <w:lang w:val="en" w:eastAsia="zh-CN"/>
        </w:rPr>
        <w:t>动态调整法治政府建设、全面依法治市和依法行政领导小组，持续推进法治政府建设工作，确保方向不偏，力度不减。制定《全面依法治市宣传活动方案》，积极向全面依法治市工作信息简报投稿，</w:t>
      </w:r>
      <w:r>
        <w:rPr>
          <w:rFonts w:hint="eastAsia" w:ascii="CESI仿宋-GB2312" w:hAnsi="CESI仿宋-GB2312" w:eastAsia="CESI仿宋-GB2312" w:cs="CESI仿宋-GB2312"/>
          <w:sz w:val="32"/>
          <w:szCs w:val="32"/>
          <w:lang w:val="en-US" w:eastAsia="zh-CN"/>
        </w:rPr>
        <w:t>截至目前，全面依法治市简报刊发我办信息10条，专题法治活动2件，特色亮点工作1项。</w:t>
      </w:r>
      <w:r>
        <w:rPr>
          <w:rFonts w:hint="eastAsia" w:ascii="仿宋" w:hAnsi="仿宋" w:eastAsia="仿宋" w:cs="仿宋"/>
          <w:sz w:val="32"/>
          <w:szCs w:val="32"/>
          <w:lang w:val="en-US" w:eastAsia="zh-CN"/>
        </w:rPr>
        <w:t>办党组召开专题会议，研究部署我办提升行政执法质量三年行动和2024年依法行政工作，制定并印发了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提升行政执法质量三年行动方案（2023-2025年</w:t>
      </w:r>
      <w:r>
        <w:rPr>
          <w:rFonts w:hint="eastAsia" w:ascii="仿宋_GB2312" w:hAnsi="仿宋_GB2312" w:eastAsia="仿宋_GB2312" w:cs="仿宋_GB2312"/>
          <w:sz w:val="32"/>
          <w:szCs w:val="32"/>
          <w:lang w:eastAsia="zh-CN"/>
        </w:rPr>
        <w:t>》，确保各项工作落实落地</w:t>
      </w:r>
      <w:r>
        <w:rPr>
          <w:rFonts w:hint="eastAsia" w:ascii="CESI仿宋-GB2312" w:hAnsi="CESI仿宋-GB2312" w:eastAsia="CESI仿宋-GB2312" w:cs="CESI仿宋-GB2312"/>
          <w:sz w:val="32"/>
          <w:szCs w:val="32"/>
          <w:lang w:eastAsia="zh-CN"/>
        </w:rPr>
        <w:t>。领导干部</w:t>
      </w:r>
      <w:r>
        <w:rPr>
          <w:rFonts w:hint="eastAsia" w:ascii="CESI仿宋-GB2312" w:hAnsi="CESI仿宋-GB2312" w:eastAsia="CESI仿宋-GB2312" w:cs="CESI仿宋-GB2312"/>
          <w:sz w:val="32"/>
          <w:szCs w:val="32"/>
          <w:lang w:val="en" w:eastAsia="zh-CN"/>
        </w:rPr>
        <w:t>认真落实学法制度，坚持会前学法，聘请法律方面专家专题授课，按照计划已经完成《中华人民共和国国防动员法》《中华人民共和国军事设施保护法》《中华人民共和国保守国家秘密法》《河北省国防动员系统行政处罚裁量权基准》等授课内容，持续推动领导干部发挥示范带头作用。</w:t>
      </w:r>
    </w:p>
    <w:p>
      <w:pPr>
        <w:keepNext w:val="0"/>
        <w:keepLines w:val="0"/>
        <w:pageBreakBefore w:val="0"/>
        <w:widowControl w:val="0"/>
        <w:kinsoku/>
        <w:wordWrap/>
        <w:overflowPunct/>
        <w:topLinePunct w:val="0"/>
        <w:autoSpaceDE/>
        <w:autoSpaceDN/>
        <w:bidi w:val="0"/>
        <w:adjustRightInd/>
        <w:snapToGrid/>
        <w:spacing w:line="540" w:lineRule="exact"/>
        <w:ind w:firstLine="632" w:firstLineChars="200"/>
        <w:jc w:val="left"/>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b/>
          <w:bCs/>
          <w:sz w:val="32"/>
          <w:szCs w:val="32"/>
          <w:lang w:val="en-US" w:eastAsia="zh-CN"/>
        </w:rPr>
        <w:t>2.坚持</w:t>
      </w:r>
      <w:r>
        <w:rPr>
          <w:rFonts w:hint="eastAsia" w:ascii="CESI仿宋-GB2312" w:hAnsi="CESI仿宋-GB2312" w:eastAsia="CESI仿宋-GB2312" w:cs="CESI仿宋-GB2312"/>
          <w:b/>
          <w:bCs/>
          <w:sz w:val="32"/>
          <w:szCs w:val="32"/>
        </w:rPr>
        <w:t>落实第一责任人职责。</w:t>
      </w:r>
      <w:r>
        <w:rPr>
          <w:rFonts w:hint="eastAsia" w:ascii="CESI仿宋-GB2312" w:hAnsi="CESI仿宋-GB2312" w:eastAsia="CESI仿宋-GB2312" w:cs="CESI仿宋-GB2312"/>
          <w:color w:val="auto"/>
          <w:sz w:val="32"/>
          <w:szCs w:val="32"/>
          <w:lang w:eastAsia="zh-CN"/>
        </w:rPr>
        <w:t>办党组书记、主任</w:t>
      </w:r>
      <w:r>
        <w:rPr>
          <w:rFonts w:hint="eastAsia" w:ascii="CESI仿宋-GB2312" w:hAnsi="CESI仿宋-GB2312" w:eastAsia="CESI仿宋-GB2312" w:cs="CESI仿宋-GB2312"/>
          <w:color w:val="auto"/>
          <w:sz w:val="32"/>
          <w:szCs w:val="32"/>
        </w:rPr>
        <w:t>认真履行推进法</w:t>
      </w:r>
      <w:r>
        <w:rPr>
          <w:rFonts w:hint="eastAsia" w:ascii="CESI仿宋-GB2312" w:hAnsi="CESI仿宋-GB2312" w:eastAsia="CESI仿宋-GB2312" w:cs="CESI仿宋-GB2312"/>
          <w:sz w:val="32"/>
          <w:szCs w:val="32"/>
        </w:rPr>
        <w:t>治建设第一责任人职责，</w:t>
      </w:r>
      <w:r>
        <w:rPr>
          <w:rFonts w:hint="eastAsia" w:ascii="CESI仿宋-GB2312" w:hAnsi="CESI仿宋-GB2312" w:eastAsia="CESI仿宋-GB2312" w:cs="CESI仿宋-GB2312"/>
          <w:sz w:val="32"/>
          <w:szCs w:val="32"/>
          <w:lang w:eastAsia="zh-CN"/>
        </w:rPr>
        <w:t>严格落实领导干部讲法制度，为全体干部职工讲授《中国共产党纪律处分条例》，明确了</w:t>
      </w:r>
      <w:r>
        <w:rPr>
          <w:rFonts w:hint="eastAsia" w:ascii="CESI仿宋-GB2312" w:hAnsi="CESI仿宋-GB2312" w:eastAsia="CESI仿宋-GB2312" w:cs="CESI仿宋-GB2312"/>
          <w:sz w:val="32"/>
          <w:szCs w:val="32"/>
          <w:lang w:val="en-US" w:eastAsia="zh-CN"/>
        </w:rPr>
        <w:t>纪律“底线”和法律“红线”，进一步提升了全体干部遵规守纪的意识。</w:t>
      </w:r>
      <w:r>
        <w:rPr>
          <w:rFonts w:hint="eastAsia" w:ascii="CESI仿宋-GB2312" w:hAnsi="CESI仿宋-GB2312" w:eastAsia="CESI仿宋-GB2312" w:cs="CESI仿宋-GB2312"/>
          <w:sz w:val="32"/>
          <w:szCs w:val="32"/>
          <w:lang w:eastAsia="zh-CN"/>
        </w:rPr>
        <w:t>组织召开</w:t>
      </w:r>
      <w:r>
        <w:rPr>
          <w:rFonts w:hint="eastAsia" w:ascii="仿宋_GB2312" w:hAnsi="仿宋_GB2312" w:eastAsia="仿宋_GB2312" w:cs="仿宋_GB2312"/>
          <w:sz w:val="32"/>
          <w:szCs w:val="32"/>
          <w:lang w:eastAsia="zh-CN"/>
        </w:rPr>
        <w:t>法治建设相关会议</w:t>
      </w:r>
      <w:r>
        <w:rPr>
          <w:rFonts w:hint="eastAsia" w:ascii="仿宋_GB2312" w:hAnsi="仿宋_GB2312" w:eastAsia="仿宋_GB2312" w:cs="仿宋_GB2312"/>
          <w:sz w:val="32"/>
          <w:szCs w:val="32"/>
          <w:lang w:val="en-US" w:eastAsia="zh-CN"/>
        </w:rPr>
        <w:t>3次，党组理论学习中心组</w:t>
      </w:r>
      <w:bookmarkStart w:id="0" w:name="_GoBack"/>
      <w:bookmarkEnd w:id="0"/>
      <w:r>
        <w:rPr>
          <w:rFonts w:hint="eastAsia" w:ascii="仿宋_GB2312" w:hAnsi="仿宋_GB2312" w:eastAsia="仿宋_GB2312" w:cs="仿宋_GB2312"/>
          <w:sz w:val="32"/>
          <w:szCs w:val="32"/>
          <w:lang w:val="en-US" w:eastAsia="zh-CN"/>
        </w:rPr>
        <w:t>学习法律法规11次，</w:t>
      </w:r>
      <w:r>
        <w:rPr>
          <w:rFonts w:hint="eastAsia" w:ascii="CESI仿宋-GB2312" w:hAnsi="CESI仿宋-GB2312" w:eastAsia="CESI仿宋-GB2312" w:cs="CESI仿宋-GB2312"/>
          <w:sz w:val="32"/>
          <w:szCs w:val="32"/>
        </w:rPr>
        <w:t>将建设法治</w:t>
      </w:r>
      <w:r>
        <w:rPr>
          <w:rFonts w:hint="eastAsia" w:ascii="CESI仿宋-GB2312" w:hAnsi="CESI仿宋-GB2312" w:eastAsia="CESI仿宋-GB2312" w:cs="CESI仿宋-GB2312"/>
          <w:sz w:val="32"/>
          <w:szCs w:val="32"/>
          <w:lang w:eastAsia="zh-CN"/>
        </w:rPr>
        <w:t>国防动员</w:t>
      </w:r>
      <w:r>
        <w:rPr>
          <w:rFonts w:hint="eastAsia" w:ascii="CESI仿宋-GB2312" w:hAnsi="CESI仿宋-GB2312" w:eastAsia="CESI仿宋-GB2312" w:cs="CESI仿宋-GB2312"/>
          <w:sz w:val="32"/>
          <w:szCs w:val="32"/>
        </w:rPr>
        <w:t>摆在工作全局的重要位置，</w:t>
      </w:r>
      <w:r>
        <w:rPr>
          <w:rFonts w:hint="eastAsia" w:ascii="CESI仿宋-GB2312" w:hAnsi="CESI仿宋-GB2312" w:eastAsia="CESI仿宋-GB2312" w:cs="CESI仿宋-GB2312"/>
          <w:sz w:val="32"/>
          <w:szCs w:val="32"/>
          <w:lang w:val="en" w:eastAsia="zh-CN"/>
        </w:rPr>
        <w:t>不断提高运用法治思维和法治方式深化改革、推动发展、化解矛盾、维护稳定、应对风险能力，</w:t>
      </w:r>
      <w:r>
        <w:rPr>
          <w:rFonts w:hint="eastAsia" w:ascii="CESI仿宋-GB2312" w:hAnsi="CESI仿宋-GB2312" w:eastAsia="CESI仿宋-GB2312" w:cs="CESI仿宋-GB2312"/>
          <w:sz w:val="32"/>
          <w:szCs w:val="32"/>
        </w:rPr>
        <w:t>把各项工作纳入法治化轨道，及时研究和解决本单位依法行政、法治建设中存在的突出问题。</w:t>
      </w:r>
    </w:p>
    <w:p>
      <w:pPr>
        <w:keepNext w:val="0"/>
        <w:keepLines w:val="0"/>
        <w:pageBreakBefore w:val="0"/>
        <w:widowControl w:val="0"/>
        <w:kinsoku/>
        <w:wordWrap/>
        <w:overflowPunct/>
        <w:topLinePunct w:val="0"/>
        <w:autoSpaceDE/>
        <w:autoSpaceDN/>
        <w:bidi w:val="0"/>
        <w:adjustRightInd/>
        <w:snapToGrid/>
        <w:spacing w:line="540" w:lineRule="exact"/>
        <w:ind w:firstLine="632" w:firstLineChars="200"/>
        <w:jc w:val="left"/>
        <w:textAlignment w:val="auto"/>
        <w:rPr>
          <w:rFonts w:hint="eastAsia" w:ascii="楷体" w:hAnsi="楷体" w:eastAsia="楷体" w:cs="楷体"/>
          <w:sz w:val="32"/>
          <w:szCs w:val="32"/>
          <w:lang w:eastAsia="zh-CN"/>
        </w:rPr>
      </w:pPr>
      <w:r>
        <w:rPr>
          <w:rFonts w:hint="eastAsia" w:ascii="楷体" w:hAnsi="楷体" w:eastAsia="楷体" w:cs="楷体"/>
          <w:sz w:val="32"/>
          <w:szCs w:val="32"/>
          <w:lang w:eastAsia="zh-CN"/>
        </w:rPr>
        <w:t>（二）充分发挥法治保障作用</w:t>
      </w:r>
    </w:p>
    <w:p>
      <w:pPr>
        <w:keepNext w:val="0"/>
        <w:keepLines w:val="0"/>
        <w:pageBreakBefore w:val="0"/>
        <w:widowControl w:val="0"/>
        <w:kinsoku/>
        <w:wordWrap/>
        <w:overflowPunct/>
        <w:topLinePunct w:val="0"/>
        <w:autoSpaceDE/>
        <w:autoSpaceDN/>
        <w:bidi w:val="0"/>
        <w:adjustRightInd/>
        <w:snapToGrid/>
        <w:spacing w:line="540" w:lineRule="exact"/>
        <w:ind w:firstLine="632" w:firstLineChars="200"/>
        <w:jc w:val="left"/>
        <w:textAlignment w:val="auto"/>
        <w:rPr>
          <w:rFonts w:hint="eastAsia" w:ascii="仿宋_GB2312" w:hAnsi="仿宋_GB2312" w:eastAsia="仿宋_GB2312" w:cs="仿宋_GB2312"/>
          <w:color w:val="auto"/>
          <w:sz w:val="32"/>
          <w:szCs w:val="32"/>
          <w:u w:val="none"/>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始终</w:t>
      </w:r>
      <w:r>
        <w:rPr>
          <w:rFonts w:hint="eastAsia" w:ascii="仿宋_GB2312" w:hAnsi="仿宋_GB2312" w:eastAsia="仿宋_GB2312" w:cs="仿宋_GB2312"/>
          <w:b/>
          <w:bCs/>
          <w:sz w:val="32"/>
          <w:szCs w:val="32"/>
        </w:rPr>
        <w:t>坚持以人民为中心的发展思想</w:t>
      </w:r>
      <w:r>
        <w:rPr>
          <w:rFonts w:hint="eastAsia" w:ascii="仿宋_GB2312" w:hAnsi="仿宋_GB2312" w:eastAsia="仿宋_GB2312" w:cs="仿宋_GB2312"/>
          <w:b/>
          <w:bCs/>
          <w:sz w:val="32"/>
          <w:szCs w:val="32"/>
          <w:lang w:eastAsia="zh-CN"/>
        </w:rPr>
        <w:t>。</w:t>
      </w:r>
      <w:r>
        <w:rPr>
          <w:rFonts w:hint="eastAsia" w:ascii="CESI仿宋-GB2312" w:hAnsi="CESI仿宋-GB2312" w:eastAsia="CESI仿宋-GB2312" w:cs="CESI仿宋-GB2312"/>
          <w:b w:val="0"/>
          <w:bCs w:val="0"/>
          <w:kern w:val="2"/>
          <w:sz w:val="32"/>
          <w:szCs w:val="32"/>
          <w:lang w:val="en-US" w:eastAsia="zh-CN" w:bidi="ar-SA"/>
        </w:rPr>
        <w:t>不</w:t>
      </w:r>
      <w:r>
        <w:rPr>
          <w:rFonts w:hint="eastAsia" w:ascii="CESI仿宋-GB2312" w:hAnsi="CESI仿宋-GB2312" w:eastAsia="CESI仿宋-GB2312" w:cs="CESI仿宋-GB2312"/>
          <w:b w:val="0"/>
          <w:bCs w:val="0"/>
          <w:sz w:val="32"/>
          <w:szCs w:val="32"/>
          <w:lang w:eastAsia="zh-CN"/>
        </w:rPr>
        <w:t>断</w:t>
      </w:r>
      <w:r>
        <w:rPr>
          <w:rFonts w:hint="eastAsia" w:ascii="仿宋_GB2312" w:hAnsi="仿宋_GB2312" w:eastAsia="仿宋_GB2312" w:cs="仿宋_GB2312"/>
          <w:sz w:val="32"/>
          <w:szCs w:val="32"/>
          <w:lang w:eastAsia="zh-CN"/>
        </w:rPr>
        <w:t>强化国动办系统治理体系和治理能力现代化，在工作中全面推进依法行政，实现国防动员依法建设、依法管理，不断提高法治建设水平，努力建设法治保障型机关，助推石家庄市建设一流营商环境、打造千亿级产业集群、加速推进城市更新、维护社会安全稳定、加强和创新社会质量等中心工作。</w:t>
      </w:r>
      <w:r>
        <w:rPr>
          <w:rFonts w:hint="eastAsia" w:ascii="仿宋_GB2312" w:hAnsi="仿宋_GB2312" w:eastAsia="仿宋_GB2312" w:cs="仿宋_GB2312"/>
          <w:sz w:val="32"/>
          <w:szCs w:val="32"/>
          <w:lang w:val="en-US" w:eastAsia="zh-CN"/>
        </w:rPr>
        <w:t>2024年，</w:t>
      </w:r>
      <w:r>
        <w:rPr>
          <w:rFonts w:hint="eastAsia" w:ascii="仿宋_GB2312" w:hAnsi="仿宋_GB2312" w:eastAsia="仿宋_GB2312" w:cs="仿宋_GB2312"/>
          <w:color w:val="auto"/>
          <w:sz w:val="32"/>
          <w:szCs w:val="32"/>
          <w:lang w:val="en-US" w:eastAsia="zh-CN"/>
        </w:rPr>
        <w:t>办理依申请公开12件，12345政务服务便民热线20件。</w:t>
      </w:r>
    </w:p>
    <w:p>
      <w:pPr>
        <w:keepNext w:val="0"/>
        <w:keepLines w:val="0"/>
        <w:pageBreakBefore w:val="0"/>
        <w:widowControl w:val="0"/>
        <w:kinsoku/>
        <w:wordWrap/>
        <w:overflowPunct/>
        <w:topLinePunct w:val="0"/>
        <w:autoSpaceDE/>
        <w:autoSpaceDN/>
        <w:bidi w:val="0"/>
        <w:adjustRightInd/>
        <w:snapToGrid/>
        <w:spacing w:line="540" w:lineRule="exact"/>
        <w:ind w:firstLine="632" w:firstLineChars="200"/>
        <w:jc w:val="left"/>
        <w:textAlignment w:val="auto"/>
        <w:rPr>
          <w:rFonts w:hint="eastAsia" w:ascii="仿宋_GB2312" w:hAnsi="仿宋_GB2312" w:eastAsia="仿宋_GB2312" w:cs="仿宋_GB2312"/>
          <w:color w:val="auto"/>
          <w:sz w:val="32"/>
          <w:szCs w:val="32"/>
          <w:lang w:val="en-US" w:eastAsia="zh-CN"/>
        </w:rPr>
      </w:pPr>
      <w:r>
        <w:rPr>
          <w:rFonts w:hint="eastAsia" w:ascii="仿宋" w:hAnsi="仿宋" w:eastAsia="仿宋" w:cs="仿宋"/>
          <w:b/>
          <w:bCs/>
          <w:color w:val="auto"/>
          <w:sz w:val="32"/>
          <w:szCs w:val="32"/>
          <w:lang w:val="en-US" w:eastAsia="zh-CN"/>
        </w:rPr>
        <w:t>2.</w:t>
      </w:r>
      <w:r>
        <w:rPr>
          <w:rFonts w:hint="eastAsia" w:ascii="仿宋_GB2312" w:hAnsi="仿宋_GB2312" w:eastAsia="仿宋_GB2312" w:cs="仿宋_GB2312"/>
          <w:b/>
          <w:bCs/>
          <w:color w:val="auto"/>
          <w:sz w:val="32"/>
          <w:szCs w:val="32"/>
        </w:rPr>
        <w:t>坚持运用法治思维和法治方式依法履职，在处置重大突发事件中</w:t>
      </w:r>
      <w:r>
        <w:rPr>
          <w:rFonts w:hint="eastAsia" w:ascii="仿宋_GB2312" w:hAnsi="仿宋_GB2312" w:eastAsia="仿宋_GB2312" w:cs="仿宋_GB2312"/>
          <w:b/>
          <w:bCs/>
          <w:color w:val="auto"/>
          <w:sz w:val="32"/>
          <w:szCs w:val="32"/>
          <w:lang w:eastAsia="zh-CN"/>
        </w:rPr>
        <w:t>不断提高法治化水平，</w:t>
      </w:r>
      <w:r>
        <w:rPr>
          <w:rFonts w:hint="eastAsia" w:ascii="仿宋_GB2312" w:hAnsi="仿宋_GB2312" w:eastAsia="仿宋_GB2312" w:cs="仿宋_GB2312"/>
          <w:b/>
          <w:bCs/>
          <w:color w:val="auto"/>
          <w:sz w:val="32"/>
          <w:szCs w:val="32"/>
        </w:rPr>
        <w:t>推进法治建设。</w:t>
      </w:r>
      <w:r>
        <w:rPr>
          <w:rFonts w:hint="eastAsia" w:ascii="仿宋_GB2312" w:hAnsi="仿宋_GB2312" w:eastAsia="仿宋_GB2312" w:cs="仿宋_GB2312"/>
          <w:sz w:val="32"/>
          <w:szCs w:val="32"/>
          <w:lang w:val="en-US" w:eastAsia="zh-CN"/>
        </w:rPr>
        <w:t>坚持用法治思维落实重大事项决策、防范化解重大矛盾风险和处置重大信访问题，注重发挥法律顾问、公职律师的重要作用，接受人大和政协监督，严格遵守各项法律法规和党内规章制度，推动矛盾问题在法治轨道内解决，全力推动法治建设。</w:t>
      </w:r>
      <w:r>
        <w:rPr>
          <w:rFonts w:hint="eastAsia" w:ascii="仿宋_GB2312" w:hAnsi="仿宋_GB2312" w:eastAsia="仿宋_GB2312" w:cs="仿宋_GB2312"/>
          <w:color w:val="auto"/>
          <w:sz w:val="32"/>
          <w:szCs w:val="32"/>
          <w:lang w:val="en-US" w:eastAsia="zh-CN"/>
        </w:rPr>
        <w:t>全年，依托法律顾问审查文件171份，接受咨询20次，组织召开协调会1次。办理人大提案2件，政协建议1件。</w:t>
      </w:r>
    </w:p>
    <w:p>
      <w:pPr>
        <w:keepNext w:val="0"/>
        <w:keepLines w:val="0"/>
        <w:pageBreakBefore w:val="0"/>
        <w:widowControl w:val="0"/>
        <w:kinsoku/>
        <w:wordWrap/>
        <w:overflowPunct/>
        <w:topLinePunct w:val="0"/>
        <w:autoSpaceDE/>
        <w:autoSpaceDN/>
        <w:bidi w:val="0"/>
        <w:adjustRightInd/>
        <w:snapToGrid/>
        <w:spacing w:line="540" w:lineRule="exact"/>
        <w:ind w:firstLine="632" w:firstLineChars="200"/>
        <w:jc w:val="left"/>
        <w:textAlignment w:val="auto"/>
        <w:rPr>
          <w:rFonts w:hint="eastAsia" w:ascii="楷体" w:hAnsi="楷体" w:eastAsia="楷体" w:cs="楷体"/>
          <w:sz w:val="32"/>
          <w:szCs w:val="32"/>
        </w:rPr>
      </w:pPr>
      <w:r>
        <w:rPr>
          <w:rFonts w:hint="eastAsia" w:ascii="楷体" w:hAnsi="楷体" w:eastAsia="楷体" w:cs="楷体"/>
          <w:sz w:val="32"/>
          <w:szCs w:val="32"/>
        </w:rPr>
        <w:t>（</w:t>
      </w:r>
      <w:r>
        <w:rPr>
          <w:rFonts w:hint="eastAsia" w:ascii="楷体" w:hAnsi="楷体" w:eastAsia="楷体" w:cs="楷体"/>
          <w:sz w:val="32"/>
          <w:szCs w:val="32"/>
          <w:lang w:eastAsia="zh-CN"/>
        </w:rPr>
        <w:t>三</w:t>
      </w:r>
      <w:r>
        <w:rPr>
          <w:rFonts w:hint="eastAsia" w:ascii="楷体" w:hAnsi="楷体" w:eastAsia="楷体" w:cs="楷体"/>
          <w:sz w:val="32"/>
          <w:szCs w:val="32"/>
        </w:rPr>
        <w:t>）依法全面履行政府职能</w:t>
      </w:r>
    </w:p>
    <w:p>
      <w:pPr>
        <w:keepNext w:val="0"/>
        <w:keepLines w:val="0"/>
        <w:pageBreakBefore w:val="0"/>
        <w:widowControl w:val="0"/>
        <w:kinsoku/>
        <w:wordWrap/>
        <w:overflowPunct/>
        <w:topLinePunct w:val="0"/>
        <w:autoSpaceDE/>
        <w:autoSpaceDN/>
        <w:bidi w:val="0"/>
        <w:adjustRightInd/>
        <w:snapToGrid/>
        <w:spacing w:line="540" w:lineRule="exact"/>
        <w:ind w:firstLine="632"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w:t>
      </w:r>
      <w:r>
        <w:rPr>
          <w:rFonts w:hint="eastAsia" w:ascii="仿宋_GB2312" w:hAnsi="仿宋_GB2312" w:eastAsia="仿宋_GB2312" w:cs="仿宋_GB2312"/>
          <w:sz w:val="32"/>
          <w:szCs w:val="32"/>
          <w:lang w:eastAsia="zh-CN"/>
        </w:rPr>
        <w:t>国防动员</w:t>
      </w:r>
      <w:r>
        <w:rPr>
          <w:rFonts w:hint="eastAsia" w:ascii="仿宋_GB2312" w:hAnsi="仿宋_GB2312" w:eastAsia="仿宋_GB2312" w:cs="仿宋_GB2312"/>
          <w:sz w:val="32"/>
          <w:szCs w:val="32"/>
        </w:rPr>
        <w:t>的职能定位，</w:t>
      </w:r>
      <w:r>
        <w:rPr>
          <w:rFonts w:hint="eastAsia" w:ascii="仿宋_GB2312" w:hAnsi="仿宋_GB2312" w:eastAsia="仿宋_GB2312" w:cs="仿宋_GB2312"/>
          <w:sz w:val="32"/>
          <w:szCs w:val="32"/>
          <w:lang w:eastAsia="zh-CN"/>
        </w:rPr>
        <w:t>严格</w:t>
      </w:r>
      <w:r>
        <w:rPr>
          <w:rFonts w:hint="eastAsia" w:ascii="仿宋_GB2312" w:hAnsi="仿宋_GB2312" w:eastAsia="仿宋_GB2312" w:cs="仿宋_GB2312"/>
          <w:sz w:val="32"/>
          <w:szCs w:val="32"/>
        </w:rPr>
        <w:t>履行各项职责，依法组织</w:t>
      </w:r>
      <w:r>
        <w:rPr>
          <w:rFonts w:hint="eastAsia" w:ascii="仿宋_GB2312" w:hAnsi="仿宋_GB2312" w:eastAsia="仿宋_GB2312" w:cs="仿宋_GB2312"/>
          <w:sz w:val="32"/>
          <w:szCs w:val="32"/>
          <w:lang w:eastAsia="zh-CN"/>
        </w:rPr>
        <w:t>国防动员</w:t>
      </w:r>
      <w:r>
        <w:rPr>
          <w:rFonts w:hint="eastAsia" w:ascii="仿宋_GB2312" w:hAnsi="仿宋_GB2312" w:eastAsia="仿宋_GB2312" w:cs="仿宋_GB2312"/>
          <w:sz w:val="32"/>
          <w:szCs w:val="32"/>
        </w:rPr>
        <w:t>建设和管理，落实国家和省</w:t>
      </w:r>
      <w:r>
        <w:rPr>
          <w:rFonts w:hint="eastAsia" w:ascii="仿宋_GB2312" w:hAnsi="仿宋_GB2312" w:eastAsia="仿宋_GB2312" w:cs="仿宋_GB2312"/>
          <w:sz w:val="32"/>
          <w:szCs w:val="32"/>
          <w:lang w:eastAsia="zh-CN"/>
        </w:rPr>
        <w:t>、市</w:t>
      </w:r>
      <w:r>
        <w:rPr>
          <w:rFonts w:hint="eastAsia" w:ascii="仿宋_GB2312" w:hAnsi="仿宋_GB2312" w:eastAsia="仿宋_GB2312" w:cs="仿宋_GB2312"/>
          <w:sz w:val="32"/>
          <w:szCs w:val="32"/>
        </w:rPr>
        <w:t>各项工作决策部署。</w:t>
      </w:r>
    </w:p>
    <w:p>
      <w:pPr>
        <w:pStyle w:val="11"/>
        <w:keepNext w:val="0"/>
        <w:keepLines w:val="0"/>
        <w:pageBreakBefore w:val="0"/>
        <w:widowControl w:val="0"/>
        <w:kinsoku/>
        <w:wordWrap/>
        <w:overflowPunct/>
        <w:topLinePunct w:val="0"/>
        <w:autoSpaceDE/>
        <w:autoSpaceDN/>
        <w:bidi w:val="0"/>
        <w:adjustRightInd/>
        <w:snapToGrid/>
        <w:spacing w:line="540" w:lineRule="exact"/>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1.全面深入推进制度建设，规范权力运行，强化制度机制的监督和制约功能。</w:t>
      </w:r>
      <w:r>
        <w:rPr>
          <w:rFonts w:hint="eastAsia" w:ascii="仿宋_GB2312" w:hAnsi="仿宋_GB2312" w:eastAsia="仿宋_GB2312" w:cs="仿宋_GB2312"/>
          <w:kern w:val="2"/>
          <w:sz w:val="32"/>
          <w:szCs w:val="32"/>
          <w:lang w:val="en-US" w:eastAsia="zh-CN" w:bidi="ar-SA"/>
        </w:rPr>
        <w:t>坚持“法无授权不可为”和“法定职责必须为”的要求，依托国动办系统改革，推动国防动员联盟制度建设，按照“政府主导、行业主建、企业主力”的模式，搭建军地联动平台，着眼应急应战需要和产业布局特点，打造国防动员联盟，引导更多优质企业参与国防动员军民融合，对接服务军事行动的各个领域，切实把职能权力全面纳入法治轨道，持续</w:t>
      </w:r>
      <w:r>
        <w:rPr>
          <w:rFonts w:hint="eastAsia" w:ascii="仿宋_GB2312" w:hAnsi="仿宋_GB2312" w:eastAsia="仿宋_GB2312" w:cs="仿宋_GB2312"/>
          <w:sz w:val="32"/>
          <w:szCs w:val="32"/>
          <w:lang w:eastAsia="zh-CN"/>
        </w:rPr>
        <w:t>推进“法治为民办实事”工作</w:t>
      </w:r>
      <w:r>
        <w:rPr>
          <w:rFonts w:hint="eastAsia" w:ascii="仿宋_GB2312" w:hAnsi="仿宋_GB2312" w:eastAsia="仿宋_GB2312" w:cs="仿宋_GB2312"/>
          <w:kern w:val="2"/>
          <w:sz w:val="32"/>
          <w:szCs w:val="32"/>
          <w:lang w:val="en-US" w:eastAsia="zh-CN" w:bidi="ar-SA"/>
        </w:rPr>
        <w:t>。2024年，重新修订各类规章制度61条，对2部政府规章开展立法后评估工作。</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0"/>
        <w:jc w:val="left"/>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
          <w:bCs/>
          <w:sz w:val="32"/>
          <w:szCs w:val="32"/>
          <w:lang w:val="en-US" w:eastAsia="zh-CN"/>
        </w:rPr>
        <w:t>2.不断</w:t>
      </w:r>
      <w:r>
        <w:rPr>
          <w:rFonts w:hint="eastAsia" w:ascii="仿宋_GB2312" w:hAnsi="仿宋_GB2312" w:eastAsia="仿宋_GB2312" w:cs="仿宋_GB2312"/>
          <w:b/>
          <w:bCs/>
          <w:sz w:val="32"/>
          <w:szCs w:val="32"/>
        </w:rPr>
        <w:t>加强“双随机</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b/>
          <w:bCs/>
          <w:sz w:val="32"/>
          <w:szCs w:val="32"/>
        </w:rPr>
        <w:t>一公开”事中事后监管</w:t>
      </w:r>
      <w:r>
        <w:rPr>
          <w:rFonts w:hint="eastAsia" w:ascii="仿宋_GB2312" w:hAnsi="仿宋_GB2312" w:eastAsia="仿宋_GB2312" w:cs="仿宋_GB2312"/>
          <w:b/>
          <w:bCs/>
          <w:sz w:val="32"/>
          <w:szCs w:val="32"/>
          <w:lang w:eastAsia="zh-CN"/>
        </w:rPr>
        <w:t>。</w:t>
      </w:r>
      <w:r>
        <w:rPr>
          <w:rFonts w:hint="eastAsia" w:ascii="CESI仿宋-GB2312" w:hAnsi="CESI仿宋-GB2312" w:eastAsia="CESI仿宋-GB2312" w:cs="CESI仿宋-GB2312"/>
          <w:color w:val="auto"/>
          <w:sz w:val="32"/>
          <w:szCs w:val="32"/>
        </w:rPr>
        <w:t>全面推进</w:t>
      </w:r>
      <w:r>
        <w:rPr>
          <w:rFonts w:hint="eastAsia" w:ascii="CESI仿宋-GB2312" w:hAnsi="CESI仿宋-GB2312" w:eastAsia="CESI仿宋-GB2312" w:cs="CESI仿宋-GB2312"/>
          <w:color w:val="auto"/>
          <w:sz w:val="32"/>
          <w:szCs w:val="32"/>
          <w:lang w:eastAsia="zh-CN"/>
        </w:rPr>
        <w:t>国防动员行业</w:t>
      </w:r>
      <w:r>
        <w:rPr>
          <w:rFonts w:hint="eastAsia" w:ascii="CESI仿宋-GB2312" w:hAnsi="CESI仿宋-GB2312" w:eastAsia="CESI仿宋-GB2312" w:cs="CESI仿宋-GB2312"/>
          <w:color w:val="auto"/>
          <w:sz w:val="32"/>
          <w:szCs w:val="32"/>
        </w:rPr>
        <w:t>监管，</w:t>
      </w:r>
      <w:r>
        <w:rPr>
          <w:rFonts w:hint="eastAsia" w:ascii="CESI仿宋-GB2312" w:hAnsi="CESI仿宋-GB2312" w:eastAsia="CESI仿宋-GB2312" w:cs="CESI仿宋-GB2312"/>
          <w:sz w:val="32"/>
          <w:szCs w:val="32"/>
        </w:rPr>
        <w:t>切实规范监管行为，提升了事中事后监管效能</w:t>
      </w:r>
      <w:r>
        <w:rPr>
          <w:rFonts w:hint="eastAsia" w:ascii="CESI仿宋-GB2312" w:hAnsi="CESI仿宋-GB2312" w:eastAsia="CESI仿宋-GB2312" w:cs="CESI仿宋-GB2312"/>
          <w:sz w:val="32"/>
          <w:szCs w:val="32"/>
          <w:lang w:eastAsia="zh-CN"/>
        </w:rPr>
        <w:t>。办党组专题研究双随机监管工作，制定印发了《</w:t>
      </w:r>
      <w:r>
        <w:rPr>
          <w:rFonts w:hint="eastAsia" w:ascii="CESI仿宋-GB2312" w:hAnsi="CESI仿宋-GB2312" w:eastAsia="CESI仿宋-GB2312" w:cs="CESI仿宋-GB2312"/>
          <w:sz w:val="32"/>
          <w:szCs w:val="32"/>
          <w:lang w:val="en-US" w:eastAsia="zh-CN"/>
        </w:rPr>
        <w:t>2024年度“双随机、一公开”监管工作实施方案</w:t>
      </w:r>
      <w:r>
        <w:rPr>
          <w:rFonts w:hint="eastAsia" w:ascii="CESI仿宋-GB2312" w:hAnsi="CESI仿宋-GB2312" w:eastAsia="CESI仿宋-GB2312" w:cs="CESI仿宋-GB2312"/>
          <w:sz w:val="32"/>
          <w:szCs w:val="32"/>
          <w:lang w:eastAsia="zh-CN"/>
        </w:rPr>
        <w:t>》和《</w:t>
      </w:r>
      <w:r>
        <w:rPr>
          <w:rFonts w:hint="eastAsia" w:ascii="CESI仿宋-GB2312" w:hAnsi="CESI仿宋-GB2312" w:eastAsia="CESI仿宋-GB2312" w:cs="CESI仿宋-GB2312"/>
          <w:sz w:val="32"/>
          <w:szCs w:val="32"/>
          <w:lang w:val="en-US" w:eastAsia="zh-CN"/>
        </w:rPr>
        <w:t>2024年“双随机、一公开”监管工作抽查计划</w:t>
      </w:r>
      <w:r>
        <w:rPr>
          <w:rFonts w:hint="eastAsia" w:ascii="CESI仿宋-GB2312" w:hAnsi="CESI仿宋-GB2312" w:eastAsia="CESI仿宋-GB2312" w:cs="CESI仿宋-GB2312"/>
          <w:sz w:val="32"/>
          <w:szCs w:val="32"/>
          <w:lang w:eastAsia="zh-CN"/>
        </w:rPr>
        <w:t>》，</w:t>
      </w:r>
      <w:r>
        <w:rPr>
          <w:rFonts w:hint="eastAsia" w:ascii="CESI仿宋-GB2312" w:hAnsi="CESI仿宋-GB2312" w:eastAsia="CESI仿宋-GB2312" w:cs="CESI仿宋-GB2312"/>
          <w:sz w:val="32"/>
          <w:szCs w:val="32"/>
        </w:rPr>
        <w:t>及时完善调整“一单两库”，全面落实了“双随机、一公开”监管机制</w:t>
      </w:r>
      <w:r>
        <w:rPr>
          <w:rFonts w:hint="eastAsia" w:ascii="CESI仿宋-GB2312" w:hAnsi="CESI仿宋-GB2312" w:eastAsia="CESI仿宋-GB2312" w:cs="CESI仿宋-GB2312"/>
          <w:sz w:val="32"/>
          <w:szCs w:val="32"/>
          <w:lang w:eastAsia="zh-CN"/>
        </w:rPr>
        <w:t>。</w:t>
      </w:r>
      <w:r>
        <w:rPr>
          <w:rFonts w:hint="eastAsia" w:ascii="CESI仿宋-GB2312" w:hAnsi="CESI仿宋-GB2312" w:eastAsia="CESI仿宋-GB2312" w:cs="CESI仿宋-GB2312"/>
          <w:sz w:val="32"/>
          <w:szCs w:val="32"/>
          <w:lang w:val="en-US" w:eastAsia="zh-CN"/>
        </w:rPr>
        <w:t>2024</w:t>
      </w:r>
      <w:r>
        <w:rPr>
          <w:rFonts w:hint="eastAsia" w:ascii="CESI仿宋-GB2312" w:hAnsi="CESI仿宋-GB2312" w:eastAsia="CESI仿宋-GB2312" w:cs="CESI仿宋-GB2312"/>
          <w:sz w:val="32"/>
          <w:szCs w:val="32"/>
          <w:lang w:eastAsia="zh-CN"/>
        </w:rPr>
        <w:t>年，组织开展双随机抽查工作</w:t>
      </w:r>
      <w:r>
        <w:rPr>
          <w:rFonts w:hint="eastAsia" w:ascii="CESI仿宋-GB2312" w:hAnsi="CESI仿宋-GB2312" w:eastAsia="CESI仿宋-GB2312" w:cs="CESI仿宋-GB2312"/>
          <w:sz w:val="32"/>
          <w:szCs w:val="32"/>
          <w:lang w:val="en-US" w:eastAsia="zh-CN"/>
        </w:rPr>
        <w:t>5次，涉及相关市场主体8个，非市场主体3个，全部在市政府政务公开平台公示。依托“双随机、一公开”监管工作，组织新增执法人员进行了现场观摩培训，对“双随机、一公开”监管工作流程、行政检查步骤以及执法记录仪的使用等内容进行了学习交流，取得了很好的效果。</w:t>
      </w:r>
    </w:p>
    <w:p>
      <w:pPr>
        <w:keepNext w:val="0"/>
        <w:keepLines w:val="0"/>
        <w:pageBreakBefore w:val="0"/>
        <w:widowControl w:val="0"/>
        <w:kinsoku/>
        <w:wordWrap/>
        <w:overflowPunct/>
        <w:topLinePunct w:val="0"/>
        <w:autoSpaceDE/>
        <w:autoSpaceDN/>
        <w:bidi w:val="0"/>
        <w:adjustRightInd/>
        <w:snapToGrid/>
        <w:spacing w:line="540" w:lineRule="exact"/>
        <w:ind w:firstLine="632"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color w:val="auto"/>
          <w:sz w:val="32"/>
          <w:szCs w:val="32"/>
          <w:lang w:val="en-US" w:eastAsia="zh-CN"/>
        </w:rPr>
        <w:t>3.持续营造法治化营商环境。</w:t>
      </w:r>
      <w:r>
        <w:rPr>
          <w:rFonts w:hint="eastAsia" w:ascii="仿宋_GB2312" w:hAnsi="仿宋_GB2312" w:eastAsia="仿宋_GB2312" w:cs="仿宋_GB2312"/>
          <w:sz w:val="32"/>
          <w:szCs w:val="32"/>
          <w:lang w:eastAsia="zh-CN"/>
        </w:rPr>
        <w:t>强化“店小二”意识，认真开展“访企业、送政策”活动，主动</w:t>
      </w:r>
      <w:r>
        <w:rPr>
          <w:rFonts w:hint="eastAsia" w:ascii="仿宋_GB2312" w:hAnsi="仿宋_GB2312" w:eastAsia="仿宋_GB2312" w:cs="仿宋_GB2312"/>
          <w:sz w:val="32"/>
          <w:szCs w:val="32"/>
          <w:lang w:val="en-US" w:eastAsia="zh-CN"/>
        </w:rPr>
        <w:t>转变服务理念，提升服务效能，采取靠前服务，下沉到项目建设一线，</w:t>
      </w:r>
      <w:r>
        <w:rPr>
          <w:rFonts w:hint="eastAsia" w:ascii="仿宋_GB2312" w:hAnsi="仿宋_GB2312" w:eastAsia="仿宋_GB2312" w:cs="仿宋_GB2312"/>
          <w:sz w:val="32"/>
          <w:szCs w:val="32"/>
          <w:lang w:eastAsia="zh-CN"/>
        </w:rPr>
        <w:t>持续深化国防动员法规政策宣传解读工作成效，进一步拉近与服务企业的感情和距离，</w:t>
      </w:r>
      <w:r>
        <w:rPr>
          <w:rFonts w:hint="eastAsia" w:ascii="仿宋_GB2312" w:hAnsi="仿宋_GB2312" w:eastAsia="仿宋_GB2312" w:cs="仿宋_GB2312"/>
          <w:sz w:val="32"/>
          <w:szCs w:val="32"/>
          <w:lang w:val="en-US" w:eastAsia="zh-CN"/>
        </w:rPr>
        <w:t>全力支持重点工程项目早建设、早验收，</w:t>
      </w:r>
      <w:r>
        <w:rPr>
          <w:rFonts w:hint="eastAsia" w:ascii="仿宋_GB2312" w:hAnsi="仿宋_GB2312" w:eastAsia="仿宋_GB2312" w:cs="仿宋_GB2312"/>
          <w:sz w:val="32"/>
          <w:szCs w:val="32"/>
          <w:lang w:eastAsia="zh-CN"/>
        </w:rPr>
        <w:t>帮助企业解决在人防工程审批和人防工程承租过程中遇到的困难和问题。市国动办推行“四办两延”模式持续优化人防工程质量监督营商环境在“政府快报”专题信息中刊发。</w:t>
      </w:r>
      <w:r>
        <w:rPr>
          <w:rFonts w:hint="eastAsia" w:ascii="仿宋_GB2312" w:hAnsi="仿宋_GB2312" w:eastAsia="仿宋_GB2312" w:cs="仿宋_GB2312"/>
          <w:sz w:val="32"/>
          <w:szCs w:val="32"/>
          <w:lang w:val="en-US" w:eastAsia="zh-CN"/>
        </w:rPr>
        <w:t>2024年</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highlight w:val="none"/>
          <w:lang w:eastAsia="zh-CN"/>
        </w:rPr>
        <w:t>开展“访企业、送政策”活动</w:t>
      </w:r>
      <w:r>
        <w:rPr>
          <w:rFonts w:hint="eastAsia" w:ascii="仿宋_GB2312" w:hAnsi="仿宋_GB2312" w:eastAsia="仿宋_GB2312" w:cs="仿宋_GB2312"/>
          <w:color w:val="auto"/>
          <w:sz w:val="32"/>
          <w:szCs w:val="32"/>
          <w:highlight w:val="none"/>
          <w:lang w:val="en-US" w:eastAsia="zh-CN"/>
        </w:rPr>
        <w:t>30余次，涉及企业100余家</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lang w:val="en-US" w:eastAsia="zh-CN"/>
        </w:rPr>
        <w:t>组织召开恳谈会4次，切实做到</w:t>
      </w:r>
      <w:r>
        <w:rPr>
          <w:rFonts w:hint="eastAsia" w:ascii="仿宋_GB2312" w:hAnsi="仿宋_GB2312" w:eastAsia="仿宋_GB2312" w:cs="仿宋_GB2312"/>
          <w:color w:val="auto"/>
          <w:sz w:val="32"/>
          <w:szCs w:val="32"/>
        </w:rPr>
        <w:t>“面对面”“零距离”交流，真正变“企业找政策”为“政策找企业”，持续激活市场主体“一池春水”</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32" w:firstLineChars="200"/>
        <w:jc w:val="left"/>
        <w:textAlignment w:val="auto"/>
        <w:outlineLvl w:val="9"/>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color w:val="auto"/>
          <w:sz w:val="32"/>
          <w:szCs w:val="32"/>
          <w:u w:val="none"/>
        </w:rPr>
        <w:t>行政执法</w:t>
      </w:r>
      <w:r>
        <w:rPr>
          <w:rFonts w:hint="eastAsia" w:ascii="仿宋_GB2312" w:hAnsi="仿宋_GB2312" w:eastAsia="仿宋_GB2312" w:cs="仿宋_GB2312"/>
          <w:b/>
          <w:bCs/>
          <w:color w:val="auto"/>
          <w:sz w:val="32"/>
          <w:szCs w:val="32"/>
          <w:u w:val="none"/>
          <w:lang w:eastAsia="zh-CN"/>
        </w:rPr>
        <w:t>落实到位</w:t>
      </w:r>
      <w:r>
        <w:rPr>
          <w:rFonts w:hint="eastAsia" w:ascii="仿宋_GB2312" w:hAnsi="仿宋_GB2312" w:eastAsia="仿宋_GB2312" w:cs="仿宋_GB2312"/>
          <w:b/>
          <w:bCs/>
          <w:color w:val="auto"/>
          <w:sz w:val="32"/>
          <w:szCs w:val="32"/>
          <w:u w:val="none"/>
        </w:rPr>
        <w:t>。</w:t>
      </w:r>
      <w:r>
        <w:rPr>
          <w:rFonts w:hint="eastAsia" w:ascii="仿宋_GB2312" w:hAnsi="仿宋_GB2312" w:eastAsia="仿宋_GB2312" w:cs="仿宋_GB2312"/>
          <w:color w:val="auto"/>
          <w:sz w:val="32"/>
          <w:szCs w:val="32"/>
          <w:u w:val="none"/>
          <w:lang w:eastAsia="zh-CN"/>
        </w:rPr>
        <w:t>严格执行行政执法三项制度，规范行政执法行为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组织开展“国防动员大讲堂”，聘请国家发改委教授为全体干部职工讲授国防动员改革和依法履职相关内容。认真落实学法考法制度，制定《领导干部学法清单》，领导干部带头尊法、学法、守法、用法，组织在职干部职工进行法律法规考试，不断提高各项工作的法治管理水平。</w:t>
      </w:r>
      <w:r>
        <w:rPr>
          <w:rFonts w:hint="eastAsia" w:ascii="仿宋_GB2312" w:hAnsi="仿宋_GB2312" w:eastAsia="仿宋_GB2312" w:cs="仿宋_GB2312"/>
          <w:sz w:val="32"/>
          <w:szCs w:val="32"/>
          <w:lang w:eastAsia="zh-CN"/>
        </w:rPr>
        <w:t>组织全市国动办系统</w:t>
      </w:r>
      <w:r>
        <w:rPr>
          <w:rFonts w:hint="eastAsia" w:ascii="仿宋_GB2312" w:hAnsi="仿宋_GB2312" w:eastAsia="仿宋_GB2312" w:cs="仿宋_GB2312"/>
          <w:sz w:val="32"/>
          <w:szCs w:val="32"/>
          <w:lang w:val="en-US" w:eastAsia="zh-CN"/>
        </w:rPr>
        <w:t>50余名</w:t>
      </w:r>
      <w:r>
        <w:rPr>
          <w:rFonts w:hint="eastAsia" w:ascii="仿宋_GB2312" w:hAnsi="仿宋_GB2312" w:eastAsia="仿宋_GB2312" w:cs="仿宋_GB2312"/>
          <w:sz w:val="32"/>
          <w:szCs w:val="32"/>
          <w:lang w:eastAsia="zh-CN"/>
        </w:rPr>
        <w:t>行政执法人员参加依法行政和“双随机、一公开”监管工作培训，</w:t>
      </w:r>
      <w:r>
        <w:rPr>
          <w:rFonts w:hint="eastAsia" w:ascii="仿宋_GB2312" w:hAnsi="仿宋_GB2312" w:eastAsia="仿宋_GB2312" w:cs="仿宋_GB2312"/>
          <w:sz w:val="32"/>
          <w:szCs w:val="32"/>
          <w:lang w:val="en-US" w:eastAsia="zh-CN"/>
        </w:rPr>
        <w:t>加强执法队伍建设，切实提高执法工作水平。</w:t>
      </w:r>
    </w:p>
    <w:p>
      <w:pPr>
        <w:keepNext w:val="0"/>
        <w:keepLines w:val="0"/>
        <w:pageBreakBefore w:val="0"/>
        <w:widowControl w:val="0"/>
        <w:kinsoku/>
        <w:wordWrap/>
        <w:overflowPunct/>
        <w:topLinePunct w:val="0"/>
        <w:autoSpaceDE/>
        <w:autoSpaceDN/>
        <w:bidi w:val="0"/>
        <w:adjustRightInd/>
        <w:snapToGrid/>
        <w:spacing w:line="540" w:lineRule="exact"/>
        <w:ind w:firstLine="632" w:firstLineChars="200"/>
        <w:jc w:val="left"/>
        <w:textAlignment w:val="auto"/>
        <w:rPr>
          <w:rFonts w:hint="eastAsia" w:ascii="楷体" w:hAnsi="楷体" w:eastAsia="楷体" w:cs="楷体"/>
          <w:sz w:val="32"/>
          <w:szCs w:val="32"/>
        </w:rPr>
      </w:pPr>
      <w:r>
        <w:rPr>
          <w:rFonts w:hint="eastAsia" w:ascii="楷体" w:hAnsi="楷体" w:eastAsia="楷体" w:cs="楷体"/>
          <w:sz w:val="32"/>
          <w:szCs w:val="32"/>
        </w:rPr>
        <w:t>（</w:t>
      </w:r>
      <w:r>
        <w:rPr>
          <w:rFonts w:hint="eastAsia" w:ascii="楷体" w:hAnsi="楷体" w:eastAsia="楷体" w:cs="楷体"/>
          <w:sz w:val="32"/>
          <w:szCs w:val="32"/>
          <w:lang w:eastAsia="zh-CN"/>
        </w:rPr>
        <w:t>四</w:t>
      </w:r>
      <w:r>
        <w:rPr>
          <w:rFonts w:hint="eastAsia" w:ascii="楷体" w:hAnsi="楷体" w:eastAsia="楷体" w:cs="楷体"/>
          <w:sz w:val="32"/>
          <w:szCs w:val="32"/>
        </w:rPr>
        <w:t>）强化行政权力的制约和监督</w:t>
      </w:r>
    </w:p>
    <w:p>
      <w:pPr>
        <w:keepNext w:val="0"/>
        <w:keepLines w:val="0"/>
        <w:pageBreakBefore w:val="0"/>
        <w:widowControl w:val="0"/>
        <w:kinsoku/>
        <w:wordWrap/>
        <w:overflowPunct/>
        <w:topLinePunct w:val="0"/>
        <w:autoSpaceDE/>
        <w:autoSpaceDN/>
        <w:bidi w:val="0"/>
        <w:adjustRightInd/>
        <w:snapToGrid/>
        <w:spacing w:line="540" w:lineRule="exact"/>
        <w:ind w:firstLine="642"/>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加强党对法治监督工作集中统一领导。</w:t>
      </w:r>
      <w:r>
        <w:rPr>
          <w:rFonts w:hint="eastAsia" w:ascii="仿宋_GB2312" w:hAnsi="仿宋_GB2312" w:eastAsia="仿宋_GB2312" w:cs="仿宋_GB2312"/>
          <w:sz w:val="32"/>
          <w:szCs w:val="32"/>
          <w:lang w:eastAsia="zh-CN"/>
        </w:rPr>
        <w:t>把法治监督作为国防动员工作和纪律监督检查体系的重要内容，持续强化制度建设，不断改进行政复议、行政应诉工作，</w:t>
      </w:r>
      <w:r>
        <w:rPr>
          <w:rFonts w:hint="eastAsia" w:ascii="仿宋_GB2312" w:hAnsi="仿宋_GB2312" w:eastAsia="仿宋_GB2312" w:cs="仿宋_GB2312"/>
          <w:sz w:val="32"/>
          <w:szCs w:val="32"/>
        </w:rPr>
        <w:t>主动接受人大及政协工作监督</w:t>
      </w:r>
      <w:r>
        <w:rPr>
          <w:rFonts w:hint="eastAsia" w:ascii="仿宋_GB2312" w:hAnsi="仿宋_GB2312" w:eastAsia="仿宋_GB2312" w:cs="仿宋_GB2312"/>
          <w:sz w:val="32"/>
          <w:szCs w:val="32"/>
          <w:lang w:eastAsia="zh-CN"/>
        </w:rPr>
        <w:t>。</w:t>
      </w:r>
    </w:p>
    <w:p>
      <w:pPr>
        <w:pStyle w:val="11"/>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32" w:firstLineChars="200"/>
        <w:jc w:val="left"/>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全面推进政务公开。</w:t>
      </w:r>
      <w:r>
        <w:rPr>
          <w:rFonts w:hint="eastAsia" w:ascii="仿宋_GB2312" w:hAnsi="仿宋_GB2312" w:eastAsia="仿宋_GB2312" w:cs="仿宋_GB2312"/>
          <w:sz w:val="32"/>
          <w:szCs w:val="32"/>
        </w:rPr>
        <w:t>完善政务公开制度，</w:t>
      </w:r>
      <w:r>
        <w:rPr>
          <w:rFonts w:hint="eastAsia" w:ascii="仿宋_GB2312" w:hAnsi="仿宋_GB2312" w:eastAsia="仿宋_GB2312" w:cs="仿宋_GB2312"/>
          <w:sz w:val="32"/>
          <w:szCs w:val="32"/>
          <w:lang w:eastAsia="zh-CN"/>
        </w:rPr>
        <w:t>加强信息公开的规范化、标准化、信息化建设，</w:t>
      </w:r>
      <w:r>
        <w:rPr>
          <w:rFonts w:hint="eastAsia" w:ascii="仿宋_GB2312" w:hAnsi="仿宋_GB2312" w:eastAsia="仿宋_GB2312" w:cs="仿宋_GB2312"/>
          <w:sz w:val="32"/>
          <w:szCs w:val="32"/>
        </w:rPr>
        <w:t>推进政务公开措施，拓宽政务公开渠道，进一步明确了政务公开范围和内容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创新政务公开方式，提高政务公开信息化、集中化水平。</w:t>
      </w:r>
      <w:r>
        <w:rPr>
          <w:rFonts w:hint="eastAsia" w:ascii="仿宋_GB2312" w:hAnsi="仿宋_GB2312" w:eastAsia="仿宋_GB2312" w:cs="仿宋_GB2312"/>
          <w:color w:val="auto"/>
          <w:sz w:val="32"/>
          <w:szCs w:val="32"/>
          <w:lang w:val="en-US" w:eastAsia="zh-CN"/>
        </w:rPr>
        <w:t>2024年</w:t>
      </w:r>
      <w:r>
        <w:rPr>
          <w:rFonts w:hint="eastAsia" w:ascii="仿宋_GB2312" w:hAnsi="仿宋_GB2312" w:eastAsia="仿宋_GB2312" w:cs="仿宋_GB2312"/>
          <w:color w:val="auto"/>
          <w:sz w:val="32"/>
          <w:szCs w:val="32"/>
          <w:lang w:eastAsia="zh-CN"/>
        </w:rPr>
        <w:t>，市政府政务公开平台发布信息</w:t>
      </w:r>
      <w:r>
        <w:rPr>
          <w:rFonts w:hint="eastAsia" w:ascii="仿宋_GB2312" w:hAnsi="仿宋_GB2312" w:eastAsia="仿宋_GB2312" w:cs="仿宋_GB2312"/>
          <w:color w:val="auto"/>
          <w:sz w:val="32"/>
          <w:szCs w:val="32"/>
          <w:lang w:val="en-US" w:eastAsia="zh-CN"/>
        </w:rPr>
        <w:t>87条。</w:t>
      </w:r>
    </w:p>
    <w:p>
      <w:pPr>
        <w:keepNext w:val="0"/>
        <w:keepLines w:val="0"/>
        <w:pageBreakBefore w:val="0"/>
        <w:widowControl w:val="0"/>
        <w:kinsoku/>
        <w:wordWrap/>
        <w:overflowPunct/>
        <w:topLinePunct w:val="0"/>
        <w:autoSpaceDE/>
        <w:autoSpaceDN/>
        <w:bidi w:val="0"/>
        <w:adjustRightInd/>
        <w:snapToGrid/>
        <w:spacing w:line="540" w:lineRule="exact"/>
        <w:ind w:firstLine="632" w:firstLineChars="200"/>
        <w:jc w:val="left"/>
        <w:textAlignment w:val="auto"/>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五</w:t>
      </w:r>
      <w:r>
        <w:rPr>
          <w:rFonts w:hint="eastAsia" w:ascii="楷体" w:hAnsi="楷体" w:eastAsia="楷体" w:cs="楷体"/>
          <w:sz w:val="32"/>
          <w:szCs w:val="32"/>
        </w:rPr>
        <w:t>）</w:t>
      </w:r>
      <w:r>
        <w:rPr>
          <w:rFonts w:hint="eastAsia" w:ascii="楷体" w:hAnsi="楷体" w:eastAsia="楷体" w:cs="楷体"/>
          <w:sz w:val="32"/>
          <w:szCs w:val="32"/>
          <w:lang w:eastAsia="zh-CN"/>
        </w:rPr>
        <w:t>强化普法宣传力度，严格落实“谁执法谁普法”普法责任制</w:t>
      </w:r>
    </w:p>
    <w:p>
      <w:pPr>
        <w:keepNext w:val="0"/>
        <w:keepLines w:val="0"/>
        <w:pageBreakBefore w:val="0"/>
        <w:numPr>
          <w:ilvl w:val="0"/>
          <w:numId w:val="0"/>
        </w:numPr>
        <w:kinsoku/>
        <w:wordWrap/>
        <w:overflowPunct/>
        <w:topLinePunct w:val="0"/>
        <w:autoSpaceDE/>
        <w:autoSpaceDN/>
        <w:bidi w:val="0"/>
        <w:adjustRightInd/>
        <w:snapToGrid/>
        <w:spacing w:line="540" w:lineRule="exact"/>
        <w:ind w:firstLine="632" w:firstLineChars="200"/>
        <w:jc w:val="left"/>
        <w:textAlignment w:val="auto"/>
        <w:rPr>
          <w:rFonts w:hint="eastAsia" w:ascii="CESI仿宋-GB2312" w:hAnsi="CESI仿宋-GB2312" w:eastAsia="CESI仿宋-GB2312" w:cs="CESI仿宋-GB2312"/>
          <w:sz w:val="32"/>
          <w:szCs w:val="32"/>
          <w:lang w:eastAsia="zh-CN"/>
        </w:rPr>
      </w:pPr>
      <w:r>
        <w:rPr>
          <w:rFonts w:hint="eastAsia" w:ascii="CESI仿宋-GB2312" w:hAnsi="CESI仿宋-GB2312" w:eastAsia="CESI仿宋-GB2312" w:cs="CESI仿宋-GB2312"/>
          <w:sz w:val="32"/>
          <w:szCs w:val="32"/>
          <w:lang w:eastAsia="zh-CN"/>
        </w:rPr>
        <w:t>强化普法宣传力度，严格落实“谁执法谁普法”和“以案释法”普法责任制。根据职能</w:t>
      </w:r>
      <w:r>
        <w:rPr>
          <w:rFonts w:hint="eastAsia" w:ascii="CESI仿宋-GB2312" w:hAnsi="CESI仿宋-GB2312" w:eastAsia="CESI仿宋-GB2312" w:cs="CESI仿宋-GB2312"/>
          <w:sz w:val="32"/>
          <w:szCs w:val="32"/>
          <w:lang w:val="en-US" w:eastAsia="zh-CN"/>
        </w:rPr>
        <w:t>，主动作为，</w:t>
      </w:r>
      <w:r>
        <w:rPr>
          <w:rFonts w:hint="eastAsia" w:ascii="CESI仿宋-GB2312" w:hAnsi="CESI仿宋-GB2312" w:eastAsia="CESI仿宋-GB2312" w:cs="CESI仿宋-GB2312"/>
          <w:sz w:val="32"/>
          <w:szCs w:val="32"/>
          <w:lang w:eastAsia="zh-CN"/>
        </w:rPr>
        <w:t>紧紧围绕《中华人民共和国国防动员法》《中华人民共和国军事设施保护法》《中华人民共和国人民防空法》等国防动员相关法律开展专题普法活动。同时，积极开展《中华人民共和国宪法》《中华人民共和国保守国家秘密法》《中华人民共和国国家安全法》等常态化普法宣传，切实提高民众的法律意识，不断增强普法宣传效果。</w:t>
      </w:r>
      <w:r>
        <w:rPr>
          <w:rFonts w:hint="eastAsia" w:ascii="CESI仿宋-GB2312" w:hAnsi="CESI仿宋-GB2312" w:eastAsia="CESI仿宋-GB2312" w:cs="CESI仿宋-GB2312"/>
          <w:sz w:val="32"/>
          <w:szCs w:val="32"/>
          <w:lang w:val="en-US" w:eastAsia="zh-CN"/>
        </w:rPr>
        <w:t>“4</w:t>
      </w:r>
      <w:r>
        <w:rPr>
          <w:rFonts w:hint="eastAsia" w:ascii="汉仪大黑简" w:hAnsi="汉仪大黑简" w:eastAsia="汉仪大黑简" w:cs="汉仪大黑简"/>
          <w:sz w:val="32"/>
          <w:szCs w:val="32"/>
          <w:lang w:val="en-US" w:eastAsia="zh-CN"/>
        </w:rPr>
        <w:t>·</w:t>
      </w:r>
      <w:r>
        <w:rPr>
          <w:rFonts w:hint="eastAsia" w:ascii="CESI仿宋-GB2312" w:hAnsi="CESI仿宋-GB2312" w:eastAsia="CESI仿宋-GB2312" w:cs="CESI仿宋-GB2312"/>
          <w:sz w:val="32"/>
          <w:szCs w:val="32"/>
          <w:lang w:val="en-US" w:eastAsia="zh-CN"/>
        </w:rPr>
        <w:t>15”全民国家安全教育日，在高新区润锦如园国防动员主题社区开展普法宣传活动。</w:t>
      </w:r>
      <w:r>
        <w:rPr>
          <w:rFonts w:hint="eastAsia" w:ascii="CESI仿宋-GB2312" w:hAnsi="CESI仿宋-GB2312" w:eastAsia="CESI仿宋-GB2312" w:cs="CESI仿宋-GB2312"/>
          <w:color w:val="222222"/>
          <w:kern w:val="0"/>
          <w:sz w:val="32"/>
          <w:szCs w:val="32"/>
        </w:rPr>
        <w:t>“5·12”全国防灾减灾日</w:t>
      </w:r>
      <w:r>
        <w:rPr>
          <w:rFonts w:hint="eastAsia" w:ascii="CESI仿宋-GB2312" w:hAnsi="CESI仿宋-GB2312" w:eastAsia="CESI仿宋-GB2312" w:cs="CESI仿宋-GB2312"/>
          <w:color w:val="222222"/>
          <w:kern w:val="0"/>
          <w:sz w:val="32"/>
          <w:szCs w:val="32"/>
          <w:lang w:eastAsia="zh-CN"/>
        </w:rPr>
        <w:t>，</w:t>
      </w:r>
      <w:r>
        <w:rPr>
          <w:rFonts w:hint="eastAsia" w:ascii="CESI仿宋-GB2312" w:hAnsi="CESI仿宋-GB2312" w:eastAsia="CESI仿宋-GB2312" w:cs="CESI仿宋-GB2312"/>
          <w:color w:val="222222"/>
          <w:kern w:val="0"/>
          <w:sz w:val="32"/>
          <w:szCs w:val="32"/>
          <w:lang w:val="en-US" w:eastAsia="zh-CN"/>
        </w:rPr>
        <w:t>联合裕华区国动办走进石家庄市第四十中学开展校园宣传，</w:t>
      </w:r>
      <w:r>
        <w:rPr>
          <w:rFonts w:hint="eastAsia" w:ascii="CESI仿宋-GB2312" w:hAnsi="CESI仿宋-GB2312" w:eastAsia="CESI仿宋-GB2312" w:cs="CESI仿宋-GB2312"/>
          <w:sz w:val="32"/>
          <w:szCs w:val="32"/>
          <w:lang w:val="en" w:eastAsia="zh-CN"/>
        </w:rPr>
        <w:t>进一步增强了广大青年学生的国防动员观念和法律意识，提高了应急避险和自救互救能力。</w:t>
      </w:r>
      <w:r>
        <w:rPr>
          <w:rFonts w:hint="eastAsia" w:ascii="CESI仿宋-GB2312" w:hAnsi="CESI仿宋-GB2312" w:eastAsia="CESI仿宋-GB2312" w:cs="CESI仿宋-GB2312"/>
          <w:color w:val="222222"/>
          <w:kern w:val="0"/>
          <w:sz w:val="32"/>
          <w:szCs w:val="32"/>
          <w:lang w:val="en-US" w:eastAsia="zh-CN"/>
        </w:rPr>
        <w:t>“</w:t>
      </w:r>
      <w:r>
        <w:rPr>
          <w:rFonts w:hint="eastAsia" w:ascii="CESI仿宋-GB2312" w:hAnsi="CESI仿宋-GB2312" w:eastAsia="CESI仿宋-GB2312" w:cs="CESI仿宋-GB2312"/>
          <w:sz w:val="32"/>
          <w:szCs w:val="32"/>
          <w:lang w:val="en-US" w:eastAsia="zh-CN"/>
        </w:rPr>
        <w:t>7</w:t>
      </w:r>
      <w:r>
        <w:rPr>
          <w:rFonts w:hint="eastAsia" w:ascii="汉仪大黑简" w:hAnsi="汉仪大黑简" w:eastAsia="汉仪大黑简" w:cs="汉仪大黑简"/>
          <w:sz w:val="32"/>
          <w:szCs w:val="32"/>
          <w:lang w:val="en-US" w:eastAsia="zh-CN"/>
        </w:rPr>
        <w:t>·</w:t>
      </w:r>
      <w:r>
        <w:rPr>
          <w:rFonts w:hint="eastAsia" w:ascii="CESI仿宋-GB2312" w:hAnsi="CESI仿宋-GB2312" w:eastAsia="CESI仿宋-GB2312" w:cs="CESI仿宋-GB2312"/>
          <w:sz w:val="32"/>
          <w:szCs w:val="32"/>
          <w:lang w:val="en-US" w:eastAsia="zh-CN"/>
        </w:rPr>
        <w:t>7</w:t>
      </w:r>
      <w:r>
        <w:rPr>
          <w:rFonts w:hint="eastAsia" w:ascii="CESI仿宋-GB2312" w:hAnsi="CESI仿宋-GB2312" w:eastAsia="CESI仿宋-GB2312" w:cs="CESI仿宋-GB2312"/>
          <w:color w:val="222222"/>
          <w:kern w:val="0"/>
          <w:sz w:val="32"/>
          <w:szCs w:val="32"/>
          <w:lang w:val="en-US" w:eastAsia="zh-CN"/>
        </w:rPr>
        <w:t>”警报试鸣活动期间，联合国动委成员单位，在解放广场开展集中宣活动。同时，</w:t>
      </w:r>
      <w:r>
        <w:rPr>
          <w:rFonts w:hint="eastAsia" w:ascii="CESI仿宋-GB2312" w:hAnsi="CESI仿宋-GB2312" w:eastAsia="CESI仿宋-GB2312" w:cs="CESI仿宋-GB2312"/>
          <w:sz w:val="32"/>
          <w:szCs w:val="32"/>
          <w:lang w:val="en-US" w:eastAsia="zh-CN"/>
        </w:rPr>
        <w:t>依托此次活动，我办还</w:t>
      </w:r>
      <w:r>
        <w:rPr>
          <w:rFonts w:hint="eastAsia" w:ascii="CESI仿宋-GB2312" w:hAnsi="CESI仿宋-GB2312" w:eastAsia="CESI仿宋-GB2312" w:cs="CESI仿宋-GB2312"/>
          <w:sz w:val="32"/>
          <w:szCs w:val="32"/>
        </w:rPr>
        <w:t>打造国防动员主题地铁站</w:t>
      </w:r>
      <w:r>
        <w:rPr>
          <w:rFonts w:hint="eastAsia" w:ascii="CESI仿宋-GB2312" w:hAnsi="CESI仿宋-GB2312" w:eastAsia="CESI仿宋-GB2312" w:cs="CESI仿宋-GB2312"/>
          <w:sz w:val="32"/>
          <w:szCs w:val="32"/>
          <w:lang w:eastAsia="zh-CN"/>
        </w:rPr>
        <w:t>和</w:t>
      </w:r>
      <w:r>
        <w:rPr>
          <w:rFonts w:hint="eastAsia" w:ascii="CESI仿宋-GB2312" w:hAnsi="CESI仿宋-GB2312" w:eastAsia="CESI仿宋-GB2312" w:cs="CESI仿宋-GB2312"/>
          <w:sz w:val="32"/>
          <w:szCs w:val="32"/>
        </w:rPr>
        <w:t>国防动员宣传专列</w:t>
      </w:r>
      <w:r>
        <w:rPr>
          <w:rFonts w:hint="eastAsia" w:ascii="CESI仿宋-GB2312" w:hAnsi="CESI仿宋-GB2312" w:eastAsia="CESI仿宋-GB2312" w:cs="CESI仿宋-GB2312"/>
          <w:sz w:val="32"/>
          <w:szCs w:val="32"/>
          <w:lang w:eastAsia="zh-CN"/>
        </w:rPr>
        <w:t>，创新</w:t>
      </w:r>
      <w:r>
        <w:rPr>
          <w:rFonts w:hint="eastAsia" w:ascii="CESI仿宋-GB2312" w:hAnsi="CESI仿宋-GB2312" w:eastAsia="CESI仿宋-GB2312" w:cs="CESI仿宋-GB2312"/>
          <w:sz w:val="32"/>
          <w:szCs w:val="32"/>
        </w:rPr>
        <w:t>“一站一线”“一静一动”地铁宣传模式，触发“动静结合”学习新体验，</w:t>
      </w:r>
      <w:r>
        <w:rPr>
          <w:rFonts w:hint="eastAsia" w:ascii="CESI仿宋-GB2312" w:hAnsi="CESI仿宋-GB2312" w:eastAsia="CESI仿宋-GB2312" w:cs="CESI仿宋-GB2312"/>
          <w:sz w:val="32"/>
          <w:szCs w:val="32"/>
          <w:lang w:eastAsia="zh-CN"/>
        </w:rPr>
        <w:t>活动期间，</w:t>
      </w:r>
      <w:r>
        <w:rPr>
          <w:rFonts w:hint="eastAsia" w:ascii="CESI仿宋-GB2312" w:hAnsi="CESI仿宋-GB2312" w:eastAsia="CESI仿宋-GB2312" w:cs="CESI仿宋-GB2312"/>
          <w:sz w:val="32"/>
          <w:szCs w:val="32"/>
          <w:lang w:val="en-US" w:eastAsia="zh-CN"/>
        </w:rPr>
        <w:t>中央级媒体刊发5件、省级媒体刊发9件、市级媒体刊发18件，</w:t>
      </w:r>
      <w:r>
        <w:rPr>
          <w:rFonts w:hint="eastAsia" w:ascii="CESI仿宋-GB2312" w:hAnsi="CESI仿宋-GB2312" w:eastAsia="CESI仿宋-GB2312" w:cs="CESI仿宋-GB2312"/>
          <w:sz w:val="32"/>
          <w:szCs w:val="32"/>
        </w:rPr>
        <w:t>营造了浓厚的国防动员宣传教育氛围</w:t>
      </w:r>
      <w:r>
        <w:rPr>
          <w:rFonts w:hint="eastAsia" w:ascii="CESI仿宋-GB2312" w:hAnsi="CESI仿宋-GB2312" w:eastAsia="CESI仿宋-GB2312" w:cs="CESI仿宋-GB2312"/>
          <w:sz w:val="32"/>
          <w:szCs w:val="32"/>
          <w:lang w:eastAsia="zh-CN"/>
        </w:rPr>
        <w:t>。“</w:t>
      </w:r>
      <w:r>
        <w:rPr>
          <w:rFonts w:hint="eastAsia" w:ascii="CESI仿宋-GB2312" w:hAnsi="CESI仿宋-GB2312" w:eastAsia="CESI仿宋-GB2312" w:cs="CESI仿宋-GB2312"/>
          <w:sz w:val="32"/>
          <w:szCs w:val="32"/>
          <w:lang w:val="en-US" w:eastAsia="zh-CN"/>
        </w:rPr>
        <w:t>10</w:t>
      </w:r>
      <w:r>
        <w:rPr>
          <w:rFonts w:hint="eastAsia" w:ascii="汉仪大黑简" w:hAnsi="汉仪大黑简" w:eastAsia="汉仪大黑简" w:cs="汉仪大黑简"/>
          <w:sz w:val="32"/>
          <w:szCs w:val="32"/>
          <w:lang w:val="en-US" w:eastAsia="zh-CN"/>
        </w:rPr>
        <w:t>·</w:t>
      </w:r>
      <w:r>
        <w:rPr>
          <w:rFonts w:hint="eastAsia" w:ascii="CESI仿宋-GB2312" w:hAnsi="CESI仿宋-GB2312" w:eastAsia="CESI仿宋-GB2312" w:cs="CESI仿宋-GB2312"/>
          <w:sz w:val="32"/>
          <w:szCs w:val="32"/>
          <w:lang w:val="en-US" w:eastAsia="zh-CN"/>
        </w:rPr>
        <w:t>31</w:t>
      </w:r>
      <w:r>
        <w:rPr>
          <w:rFonts w:hint="eastAsia" w:ascii="CESI仿宋-GB2312" w:hAnsi="CESI仿宋-GB2312" w:eastAsia="CESI仿宋-GB2312" w:cs="CESI仿宋-GB2312"/>
          <w:sz w:val="32"/>
          <w:szCs w:val="32"/>
          <w:lang w:eastAsia="zh-CN"/>
        </w:rPr>
        <w:t>”人民防空创立日，联合藁城区国动办，在</w:t>
      </w:r>
      <w:r>
        <w:rPr>
          <w:rFonts w:hint="eastAsia" w:ascii="CESI仿宋-GB2312" w:hAnsi="CESI仿宋-GB2312" w:eastAsia="CESI仿宋-GB2312" w:cs="CESI仿宋-GB2312"/>
          <w:sz w:val="32"/>
          <w:szCs w:val="32"/>
          <w:lang w:val="en-US" w:eastAsia="zh-CN"/>
        </w:rPr>
        <w:t>仕嘉华府小区开展集中宣传活动，发放宣传资料和宣传品，受到广大群众一致认可。</w:t>
      </w:r>
    </w:p>
    <w:p>
      <w:pPr>
        <w:keepNext w:val="0"/>
        <w:keepLines w:val="0"/>
        <w:pageBreakBefore w:val="0"/>
        <w:widowControl w:val="0"/>
        <w:kinsoku/>
        <w:wordWrap/>
        <w:overflowPunct/>
        <w:topLinePunct w:val="0"/>
        <w:autoSpaceDE/>
        <w:autoSpaceDN/>
        <w:bidi w:val="0"/>
        <w:adjustRightInd/>
        <w:snapToGrid/>
        <w:spacing w:line="540" w:lineRule="exact"/>
        <w:ind w:firstLine="632" w:firstLineChars="200"/>
        <w:jc w:val="left"/>
        <w:textAlignment w:val="auto"/>
        <w:rPr>
          <w:rFonts w:hint="eastAsia" w:ascii="仿宋_GB2312" w:hAnsi="仿宋_GB2312" w:eastAsia="仿宋_GB2312" w:cs="仿宋_GB2312"/>
          <w:sz w:val="32"/>
          <w:szCs w:val="32"/>
          <w:lang w:val="en-US" w:eastAsia="zh-CN"/>
        </w:rPr>
      </w:pPr>
      <w:r>
        <w:rPr>
          <w:rFonts w:hint="eastAsia" w:ascii="CESI仿宋-GB2312" w:hAnsi="CESI仿宋-GB2312" w:eastAsia="CESI仿宋-GB2312" w:cs="CESI仿宋-GB2312"/>
          <w:sz w:val="32"/>
          <w:szCs w:val="32"/>
          <w:lang w:val="en" w:eastAsia="zh-CN"/>
        </w:rPr>
        <w:t>发挥新媒体传播优势，加大“石家庄国防动员”微信公众号运用力度，不断拓展普法宣传渠道，持续提升宣传效果。</w:t>
      </w:r>
      <w:r>
        <w:rPr>
          <w:rFonts w:hint="eastAsia" w:ascii="CESI仿宋-GB2312" w:hAnsi="CESI仿宋-GB2312" w:eastAsia="CESI仿宋-GB2312" w:cs="CESI仿宋-GB2312"/>
          <w:sz w:val="32"/>
          <w:szCs w:val="32"/>
          <w:lang w:val="en-US" w:eastAsia="zh-CN"/>
        </w:rPr>
        <w:t>2024年</w:t>
      </w:r>
      <w:r>
        <w:rPr>
          <w:rFonts w:hint="eastAsia" w:ascii="CESI仿宋-GB2312" w:hAnsi="CESI仿宋-GB2312" w:eastAsia="CESI仿宋-GB2312" w:cs="CESI仿宋-GB2312"/>
          <w:sz w:val="32"/>
          <w:szCs w:val="32"/>
          <w:lang w:val="en" w:eastAsia="zh-CN"/>
        </w:rPr>
        <w:t>，石家庄国防动员”微信公众号刊发信息</w:t>
      </w:r>
      <w:r>
        <w:rPr>
          <w:rFonts w:hint="eastAsia" w:ascii="CESI仿宋-GB2312" w:hAnsi="CESI仿宋-GB2312" w:eastAsia="CESI仿宋-GB2312" w:cs="CESI仿宋-GB2312"/>
          <w:sz w:val="32"/>
          <w:szCs w:val="32"/>
          <w:lang w:val="en-US" w:eastAsia="zh-CN"/>
        </w:rPr>
        <w:t>135条，同比增长121%，新增粉丝数55147人，同比增长150倍。</w:t>
      </w:r>
    </w:p>
    <w:p>
      <w:pPr>
        <w:keepNext w:val="0"/>
        <w:keepLines w:val="0"/>
        <w:pageBreakBefore w:val="0"/>
        <w:widowControl w:val="0"/>
        <w:kinsoku/>
        <w:wordWrap/>
        <w:overflowPunct/>
        <w:topLinePunct w:val="0"/>
        <w:autoSpaceDE/>
        <w:autoSpaceDN/>
        <w:bidi w:val="0"/>
        <w:adjustRightInd/>
        <w:snapToGrid/>
        <w:spacing w:line="540" w:lineRule="exact"/>
        <w:ind w:firstLine="642"/>
        <w:jc w:val="left"/>
        <w:textAlignment w:val="auto"/>
        <w:rPr>
          <w:rFonts w:hint="eastAsia" w:ascii="楷体" w:hAnsi="楷体" w:eastAsia="楷体" w:cs="楷体"/>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六</w:t>
      </w:r>
      <w:r>
        <w:rPr>
          <w:rFonts w:hint="eastAsia" w:ascii="楷体" w:hAnsi="楷体" w:eastAsia="楷体" w:cs="楷体"/>
          <w:sz w:val="32"/>
          <w:szCs w:val="32"/>
        </w:rPr>
        <w:t>）提高政府工作人员法治思维和依法行政能力</w:t>
      </w:r>
      <w:r>
        <w:rPr>
          <w:rFonts w:hint="eastAsia" w:ascii="楷体" w:hAnsi="楷体" w:eastAsia="楷体" w:cs="楷体"/>
          <w:sz w:val="32"/>
          <w:szCs w:val="32"/>
          <w:lang w:eastAsia="zh-CN"/>
        </w:rPr>
        <w:t>，持续推进治理体系和治理能力现代化</w:t>
      </w:r>
    </w:p>
    <w:p>
      <w:pPr>
        <w:keepNext w:val="0"/>
        <w:keepLines w:val="0"/>
        <w:pageBreakBefore w:val="0"/>
        <w:widowControl w:val="0"/>
        <w:kinsoku/>
        <w:wordWrap/>
        <w:overflowPunct/>
        <w:topLinePunct w:val="0"/>
        <w:autoSpaceDE/>
        <w:autoSpaceDN/>
        <w:bidi w:val="0"/>
        <w:adjustRightInd/>
        <w:snapToGrid/>
        <w:spacing w:line="540" w:lineRule="exact"/>
        <w:ind w:firstLine="655"/>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eastAsia="zh-CN"/>
        </w:rPr>
        <w:t>持续</w:t>
      </w:r>
      <w:r>
        <w:rPr>
          <w:rFonts w:hint="eastAsia" w:ascii="仿宋_GB2312" w:hAnsi="仿宋_GB2312" w:eastAsia="仿宋_GB2312" w:cs="仿宋_GB2312"/>
          <w:b/>
          <w:bCs/>
          <w:sz w:val="32"/>
          <w:szCs w:val="32"/>
        </w:rPr>
        <w:t>加强依法行政理论学习,</w:t>
      </w:r>
      <w:r>
        <w:rPr>
          <w:rFonts w:hint="eastAsia" w:ascii="仿宋_GB2312" w:hAnsi="仿宋_GB2312" w:eastAsia="仿宋_GB2312" w:cs="仿宋_GB2312"/>
          <w:b/>
          <w:bCs/>
          <w:sz w:val="32"/>
          <w:szCs w:val="32"/>
          <w:lang w:eastAsia="zh-CN"/>
        </w:rPr>
        <w:t>不断</w:t>
      </w:r>
      <w:r>
        <w:rPr>
          <w:rFonts w:hint="eastAsia" w:ascii="仿宋_GB2312" w:hAnsi="仿宋_GB2312" w:eastAsia="仿宋_GB2312" w:cs="仿宋_GB2312"/>
          <w:b/>
          <w:bCs/>
          <w:sz w:val="32"/>
          <w:szCs w:val="32"/>
        </w:rPr>
        <w:t>提高全办干部职工法治思维和依法行政</w:t>
      </w:r>
      <w:r>
        <w:rPr>
          <w:rFonts w:hint="eastAsia" w:ascii="仿宋_GB2312" w:hAnsi="仿宋_GB2312" w:eastAsia="仿宋_GB2312" w:cs="仿宋_GB2312"/>
          <w:b/>
          <w:bCs/>
          <w:sz w:val="32"/>
          <w:szCs w:val="32"/>
          <w:lang w:eastAsia="zh-CN"/>
        </w:rPr>
        <w:t>水平</w:t>
      </w:r>
      <w:r>
        <w:rPr>
          <w:rFonts w:hint="eastAsia" w:ascii="仿宋_GB2312" w:hAnsi="仿宋_GB2312" w:eastAsia="仿宋_GB2312" w:cs="仿宋_GB2312"/>
          <w:b/>
          <w:bCs/>
          <w:sz w:val="32"/>
          <w:szCs w:val="32"/>
        </w:rPr>
        <w:t>。</w:t>
      </w:r>
      <w:r>
        <w:rPr>
          <w:rFonts w:hint="eastAsia" w:ascii="仿宋_GB2312" w:hAnsi="仿宋_GB2312" w:eastAsia="仿宋_GB2312" w:cs="仿宋_GB2312"/>
          <w:sz w:val="32"/>
          <w:szCs w:val="32"/>
        </w:rPr>
        <w:t>办党组带头抓依法行政的思想政治建设,不断强化科学理论武装</w:t>
      </w:r>
      <w:r>
        <w:rPr>
          <w:rFonts w:hint="eastAsia" w:ascii="仿宋_GB2312" w:hAnsi="仿宋_GB2312" w:eastAsia="仿宋_GB2312" w:cs="仿宋_GB2312"/>
          <w:sz w:val="32"/>
          <w:szCs w:val="32"/>
          <w:lang w:eastAsia="zh-CN"/>
        </w:rPr>
        <w:t>，充分利用</w:t>
      </w:r>
      <w:r>
        <w:rPr>
          <w:rFonts w:hint="eastAsia" w:ascii="CESI仿宋-GB2312" w:hAnsi="CESI仿宋-GB2312" w:eastAsia="CESI仿宋-GB2312" w:cs="CESI仿宋-GB2312"/>
          <w:sz w:val="32"/>
          <w:szCs w:val="32"/>
          <w:lang w:eastAsia="zh-CN"/>
        </w:rPr>
        <w:t>《中华人民共和国宪法》</w:t>
      </w:r>
      <w:r>
        <w:rPr>
          <w:rFonts w:hint="eastAsia" w:ascii="仿宋_GB2312" w:hAnsi="仿宋_GB2312" w:eastAsia="仿宋_GB2312" w:cs="仿宋_GB2312"/>
          <w:sz w:val="32"/>
          <w:szCs w:val="32"/>
          <w:lang w:eastAsia="zh-CN"/>
        </w:rPr>
        <w:t>《中华人民共和国国防动员法》《中华人民共和国人民防空法》《中华人民共和国军事设施保护法》等学习宣传活动，在全办掀起了学法用法的热潮。组织参加法律知识培训考试</w:t>
      </w:r>
      <w:r>
        <w:rPr>
          <w:rFonts w:hint="eastAsia" w:ascii="仿宋_GB2312" w:hAnsi="仿宋_GB2312" w:eastAsia="仿宋_GB2312" w:cs="仿宋_GB2312"/>
          <w:sz w:val="32"/>
          <w:szCs w:val="32"/>
          <w:lang w:val="en-US" w:eastAsia="zh-CN"/>
        </w:rPr>
        <w:t>3次，开展依法行政和双随机培训2次。</w:t>
      </w:r>
    </w:p>
    <w:p>
      <w:pPr>
        <w:pStyle w:val="11"/>
        <w:keepNext w:val="0"/>
        <w:keepLines w:val="0"/>
        <w:pageBreakBefore w:val="0"/>
        <w:widowControl w:val="0"/>
        <w:kinsoku/>
        <w:wordWrap/>
        <w:overflowPunct/>
        <w:topLinePunct w:val="0"/>
        <w:autoSpaceDE/>
        <w:autoSpaceDN/>
        <w:bidi w:val="0"/>
        <w:adjustRightInd/>
        <w:snapToGrid/>
        <w:spacing w:line="540" w:lineRule="exact"/>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 坚持底线思维和增强忧患意识。</w:t>
      </w:r>
      <w:r>
        <w:rPr>
          <w:rFonts w:hint="eastAsia" w:ascii="仿宋_GB2312" w:hAnsi="仿宋_GB2312" w:eastAsia="仿宋_GB2312" w:cs="仿宋_GB2312"/>
          <w:sz w:val="32"/>
          <w:szCs w:val="32"/>
          <w:lang w:val="en-US" w:eastAsia="zh-CN"/>
        </w:rPr>
        <w:t>运用法治思维和法治方式有效防范化解重大矛盾风险，坚持用法治思维规范信访问题，注重发挥法律顾问重要作用，贯彻落实预防性法律制度，推动矛盾问题在法治轨道内解决，全力推动法治建设。</w:t>
      </w:r>
    </w:p>
    <w:p>
      <w:pPr>
        <w:keepNext w:val="0"/>
        <w:keepLines w:val="0"/>
        <w:pageBreakBefore w:val="0"/>
        <w:widowControl w:val="0"/>
        <w:kinsoku/>
        <w:wordWrap/>
        <w:overflowPunct/>
        <w:topLinePunct w:val="0"/>
        <w:autoSpaceDE/>
        <w:autoSpaceDN/>
        <w:bidi w:val="0"/>
        <w:adjustRightInd/>
        <w:snapToGrid/>
        <w:spacing w:line="540" w:lineRule="exact"/>
        <w:ind w:firstLine="632" w:firstLineChars="200"/>
        <w:jc w:val="left"/>
        <w:textAlignment w:val="auto"/>
        <w:rPr>
          <w:rFonts w:hint="eastAsia" w:ascii="仿宋_GB2312" w:hAnsi="宋体" w:eastAsia="仿宋_GB2312" w:cs="仿宋_GB2312"/>
          <w:sz w:val="32"/>
          <w:szCs w:val="32"/>
          <w:lang w:eastAsia="zh-CN"/>
        </w:rPr>
      </w:pPr>
      <w:r>
        <w:rPr>
          <w:rFonts w:hint="eastAsia" w:ascii="CESI黑体-GB2312" w:hAnsi="CESI黑体-GB2312" w:eastAsia="CESI黑体-GB2312" w:cs="CESI黑体-GB2312"/>
          <w:sz w:val="32"/>
          <w:szCs w:val="32"/>
          <w:lang w:val="en-US" w:eastAsia="zh-CN"/>
        </w:rPr>
        <w:t>二、亮点工作</w:t>
      </w:r>
    </w:p>
    <w:p>
      <w:pPr>
        <w:keepNext w:val="0"/>
        <w:keepLines w:val="0"/>
        <w:pageBreakBefore w:val="0"/>
        <w:kinsoku/>
        <w:wordWrap/>
        <w:overflowPunct/>
        <w:topLinePunct w:val="0"/>
        <w:autoSpaceDE/>
        <w:autoSpaceDN/>
        <w:bidi w:val="0"/>
        <w:adjustRightInd/>
        <w:snapToGrid/>
        <w:spacing w:line="540" w:lineRule="exact"/>
        <w:ind w:firstLine="632" w:firstLineChars="200"/>
        <w:jc w:val="left"/>
        <w:textAlignment w:val="auto"/>
        <w:rPr>
          <w:rFonts w:hint="eastAsia" w:ascii="方正仿宋_GBK" w:hAnsi="方正仿宋_GBK" w:eastAsia="方正仿宋_GBK" w:cs="方正仿宋_GBK"/>
          <w:sz w:val="32"/>
          <w:szCs w:val="32"/>
          <w:lang w:val="en-US" w:eastAsia="zh-CN"/>
        </w:rPr>
      </w:pPr>
      <w:r>
        <w:rPr>
          <w:rFonts w:hint="eastAsia" w:ascii="方正楷体_GBK" w:hAnsi="方正楷体_GBK" w:eastAsia="方正楷体_GBK" w:cs="方正楷体_GBK"/>
          <w:sz w:val="32"/>
          <w:szCs w:val="32"/>
          <w:lang w:eastAsia="zh-CN"/>
        </w:rPr>
        <w:t>（一）坚持</w:t>
      </w:r>
      <w:r>
        <w:rPr>
          <w:rFonts w:hint="eastAsia" w:ascii="方正楷体_GBK" w:hAnsi="方正楷体_GBK" w:eastAsia="方正楷体_GBK" w:cs="方正楷体_GBK"/>
          <w:sz w:val="32"/>
          <w:szCs w:val="32"/>
        </w:rPr>
        <w:t>会前学法不断提升决策水平和工作质效</w:t>
      </w:r>
    </w:p>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40" w:lineRule="exact"/>
        <w:ind w:left="0" w:right="0" w:firstLine="632" w:firstLineChars="200"/>
        <w:jc w:val="left"/>
        <w:textAlignment w:val="auto"/>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为深入学习贯彻习近平法治思想，严格履行全面依法治市职能，充分发挥领导干部在学法用法守法方面的示范带头作用，市国动办坚持落实会前学法制度，不断提高运用法治思维解决问题的能力。</w:t>
      </w:r>
      <w:r>
        <w:rPr>
          <w:rFonts w:hint="eastAsia" w:ascii="方正仿宋_GBK" w:hAnsi="方正仿宋_GBK" w:eastAsia="方正仿宋_GBK" w:cs="方正仿宋_GBK"/>
          <w:b/>
          <w:bCs/>
          <w:sz w:val="32"/>
          <w:szCs w:val="32"/>
          <w:lang w:val="en-US" w:eastAsia="zh-CN"/>
        </w:rPr>
        <w:t>一是增强法治观念，带头学法铭心智。</w:t>
      </w:r>
      <w:r>
        <w:rPr>
          <w:rFonts w:hint="eastAsia" w:ascii="方正仿宋_GBK" w:hAnsi="方正仿宋_GBK" w:eastAsia="方正仿宋_GBK" w:cs="方正仿宋_GBK"/>
          <w:sz w:val="32"/>
          <w:szCs w:val="32"/>
          <w:lang w:val="en-US" w:eastAsia="zh-CN"/>
        </w:rPr>
        <w:t>深学细悟党的二十大精神和习近平法治思想，深刻认识推进全面依法治市的重大意义，将“会前学法”作为法治建设学习的“规定动作”，明确学习内容和目标任务，切实推动“会前学法”制度化、规范化、常态化开展。</w:t>
      </w:r>
      <w:r>
        <w:rPr>
          <w:rFonts w:hint="eastAsia" w:ascii="方正仿宋_GBK" w:hAnsi="方正仿宋_GBK" w:eastAsia="方正仿宋_GBK" w:cs="方正仿宋_GBK"/>
          <w:b/>
          <w:bCs/>
          <w:sz w:val="32"/>
          <w:szCs w:val="32"/>
          <w:lang w:val="en-US" w:eastAsia="zh-CN"/>
        </w:rPr>
        <w:t>二是提升法治思维，带头用法促发展。</w:t>
      </w:r>
      <w:r>
        <w:rPr>
          <w:rFonts w:hint="eastAsia" w:ascii="方正仿宋_GBK" w:hAnsi="方正仿宋_GBK" w:eastAsia="方正仿宋_GBK" w:cs="方正仿宋_GBK"/>
          <w:sz w:val="32"/>
          <w:szCs w:val="32"/>
          <w:lang w:val="en-US" w:eastAsia="zh-CN"/>
        </w:rPr>
        <w:t>加强对国防动员相关法律法规的学习领会，做到学法和用法相结合，切实提升依法决策依法治理能力，不断提升领导干部的法治素养，为国防动员高质量发展提供法治保障。</w:t>
      </w:r>
      <w:r>
        <w:rPr>
          <w:rFonts w:hint="eastAsia" w:ascii="方正仿宋_GBK" w:hAnsi="方正仿宋_GBK" w:eastAsia="方正仿宋_GBK" w:cs="方正仿宋_GBK"/>
          <w:b/>
          <w:bCs/>
          <w:sz w:val="32"/>
          <w:szCs w:val="32"/>
          <w:lang w:val="en-US" w:eastAsia="zh-CN"/>
        </w:rPr>
        <w:t>三是恪守法律底线，带头守法正言行。</w:t>
      </w:r>
      <w:r>
        <w:rPr>
          <w:rFonts w:hint="eastAsia" w:ascii="方正仿宋_GBK" w:hAnsi="方正仿宋_GBK" w:eastAsia="方正仿宋_GBK" w:cs="方正仿宋_GBK"/>
          <w:sz w:val="32"/>
          <w:szCs w:val="32"/>
          <w:lang w:val="en-US" w:eastAsia="zh-CN"/>
        </w:rPr>
        <w:t>切实做到依法用权，时时保持清醒头脑，时刻紧绷遵纪守法这根弦，不破“底线”，不越“红线”，不触“高线”，始终保持“忠诚、干净、担当”的政治本色。</w:t>
      </w:r>
    </w:p>
    <w:p>
      <w:pPr>
        <w:keepNext w:val="0"/>
        <w:keepLines w:val="0"/>
        <w:pageBreakBefore w:val="0"/>
        <w:kinsoku/>
        <w:wordWrap/>
        <w:overflowPunct/>
        <w:topLinePunct w:val="0"/>
        <w:autoSpaceDE/>
        <w:autoSpaceDN/>
        <w:bidi w:val="0"/>
        <w:adjustRightInd/>
        <w:snapToGrid/>
        <w:spacing w:line="540" w:lineRule="exact"/>
        <w:ind w:firstLine="632" w:firstLineChars="200"/>
        <w:jc w:val="left"/>
        <w:textAlignment w:val="auto"/>
        <w:rPr>
          <w:rFonts w:hint="default"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（二）提高服务群众的便捷度和满意度，持续优化营商环境</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right="0" w:rightChars="0" w:firstLine="632" w:firstLineChars="200"/>
        <w:jc w:val="left"/>
        <w:textAlignment w:val="auto"/>
        <w:outlineLvl w:val="9"/>
        <w:rPr>
          <w:rFonts w:hint="eastAsia" w:ascii="仿宋_GB2312" w:hAnsi="Calibri" w:eastAsia="仿宋_GB2312" w:cs="Times New Roman"/>
          <w:kern w:val="2"/>
          <w:sz w:val="32"/>
          <w:szCs w:val="32"/>
          <w:lang w:val="en-US" w:eastAsia="zh-CN" w:bidi="ar-SA"/>
        </w:rPr>
      </w:pPr>
      <w:r>
        <w:rPr>
          <w:rFonts w:hint="eastAsia" w:ascii="仿宋_GB2312" w:hAnsi="仿宋_GB2312" w:eastAsia="仿宋_GB2312" w:cs="仿宋_GB2312"/>
          <w:sz w:val="32"/>
          <w:szCs w:val="32"/>
          <w:vertAlign w:val="baseline"/>
          <w:lang w:val="en-US" w:eastAsia="zh-CN"/>
        </w:rPr>
        <w:t>市国动办不断提高服务群众的便捷度和满意度自觉把优化营商环境与促进国防动员发展有机结合，切实在简政放权、打通堵点上动真格、抓落地，在规范审批、加强管理上下重手、出实招，在优化服务、提升效率上做文章、求实效，在促进人防工程建设与城市建设融合发展上取得了良好效果。</w:t>
      </w:r>
      <w:r>
        <w:rPr>
          <w:rFonts w:hint="eastAsia" w:ascii="方正仿宋_GBK" w:hAnsi="方正仿宋_GBK" w:eastAsia="方正仿宋_GBK" w:cs="方正仿宋_GBK"/>
          <w:b/>
          <w:bCs/>
          <w:kern w:val="0"/>
          <w:sz w:val="32"/>
          <w:szCs w:val="32"/>
          <w:lang w:val="en-US" w:eastAsia="zh-CN" w:bidi="ar"/>
        </w:rPr>
        <w:t>一是大胆改革创新，实现行政审批提质增效。</w:t>
      </w:r>
      <w:r>
        <w:rPr>
          <w:rFonts w:hint="eastAsia" w:ascii="仿宋_GB2312" w:hAnsi="仿宋_GB2312" w:eastAsia="仿宋_GB2312" w:cs="仿宋_GB2312"/>
          <w:sz w:val="32"/>
          <w:szCs w:val="32"/>
          <w:vertAlign w:val="baseline"/>
          <w:lang w:val="en-US" w:eastAsia="zh-CN"/>
        </w:rPr>
        <w:t>全面推</w:t>
      </w:r>
      <w:r>
        <w:rPr>
          <w:rFonts w:hint="eastAsia" w:ascii="仿宋_GB2312" w:hAnsi="Calibri" w:eastAsia="仿宋_GB2312" w:cs="Times New Roman"/>
          <w:kern w:val="2"/>
          <w:sz w:val="32"/>
          <w:szCs w:val="32"/>
          <w:lang w:val="en-US" w:eastAsia="zh-CN" w:bidi="ar-SA"/>
        </w:rPr>
        <w:t>行服务承诺、首问责任等制度，实现行政审批事项全流程管理和“一站式”服务。开展政务流程再造，对行政事项进行全面梳理，最大限度减少审批项目、审批资料、审批环节和承诺时限。创新审批方式，落实并联审批工作机制，做到即</w:t>
      </w:r>
      <w:r>
        <w:rPr>
          <w:rFonts w:hint="eastAsia" w:ascii="仿宋_GB2312" w:eastAsia="仿宋_GB2312" w:cs="Times New Roman"/>
          <w:kern w:val="2"/>
          <w:sz w:val="32"/>
          <w:szCs w:val="32"/>
          <w:lang w:val="en-US" w:eastAsia="zh-CN" w:bidi="ar-SA"/>
        </w:rPr>
        <w:t>来即</w:t>
      </w:r>
      <w:r>
        <w:rPr>
          <w:rFonts w:hint="eastAsia" w:ascii="仿宋_GB2312" w:hAnsi="Calibri" w:eastAsia="仿宋_GB2312" w:cs="Times New Roman"/>
          <w:kern w:val="2"/>
          <w:sz w:val="32"/>
          <w:szCs w:val="32"/>
          <w:lang w:val="en-US" w:eastAsia="zh-CN" w:bidi="ar-SA"/>
        </w:rPr>
        <w:t>办结，办结率达100%。</w:t>
      </w:r>
      <w:r>
        <w:rPr>
          <w:rFonts w:hint="eastAsia" w:ascii="方正仿宋_GBK" w:hAnsi="方正仿宋_GBK" w:eastAsia="方正仿宋_GBK" w:cs="方正仿宋_GBK"/>
          <w:b/>
          <w:bCs/>
          <w:kern w:val="0"/>
          <w:sz w:val="32"/>
          <w:szCs w:val="32"/>
          <w:lang w:val="en-US" w:eastAsia="zh-CN" w:bidi="ar"/>
        </w:rPr>
        <w:t>二是切实转变作风，力促政务服务优质高效。</w:t>
      </w:r>
      <w:r>
        <w:rPr>
          <w:rFonts w:hint="eastAsia" w:ascii="仿宋_GB2312" w:hAnsi="Calibri" w:eastAsia="仿宋_GB2312" w:cs="Times New Roman"/>
          <w:kern w:val="2"/>
          <w:sz w:val="32"/>
          <w:szCs w:val="32"/>
          <w:lang w:val="en-US" w:eastAsia="zh-CN" w:bidi="ar-SA"/>
        </w:rPr>
        <w:t>进一步加强事前咨询服务、事中事后监管，为企业提供全过程服务。强化技术指导，人防工程质量</w:t>
      </w:r>
      <w:r>
        <w:rPr>
          <w:rFonts w:hint="eastAsia" w:ascii="仿宋_GB2312" w:eastAsia="仿宋_GB2312" w:cs="Times New Roman"/>
          <w:kern w:val="2"/>
          <w:sz w:val="32"/>
          <w:szCs w:val="32"/>
          <w:lang w:val="en-US" w:eastAsia="zh-CN" w:bidi="ar-SA"/>
        </w:rPr>
        <w:t>检验</w:t>
      </w:r>
      <w:r>
        <w:rPr>
          <w:rFonts w:hint="eastAsia" w:ascii="仿宋_GB2312" w:hAnsi="Calibri" w:eastAsia="仿宋_GB2312" w:cs="Times New Roman"/>
          <w:kern w:val="2"/>
          <w:sz w:val="32"/>
          <w:szCs w:val="32"/>
          <w:lang w:val="en-US" w:eastAsia="zh-CN" w:bidi="ar-SA"/>
        </w:rPr>
        <w:t>站技术人员深入到项目施工现场，提供专业的指导监督服务，确保施工单位对标施工、高效施工、减少杜绝返工。针对</w:t>
      </w:r>
      <w:r>
        <w:rPr>
          <w:rFonts w:hint="eastAsia" w:ascii="仿宋_GB2312" w:eastAsia="仿宋_GB2312" w:cs="Times New Roman"/>
          <w:kern w:val="2"/>
          <w:sz w:val="32"/>
          <w:szCs w:val="32"/>
          <w:lang w:val="en-US" w:eastAsia="zh-CN" w:bidi="ar-SA"/>
        </w:rPr>
        <w:t>县级人防工程质量监督人员技术力量薄弱</w:t>
      </w:r>
      <w:r>
        <w:rPr>
          <w:rFonts w:hint="eastAsia" w:ascii="仿宋_GB2312" w:hAnsi="Calibri" w:eastAsia="仿宋_GB2312" w:cs="Times New Roman"/>
          <w:kern w:val="2"/>
          <w:sz w:val="32"/>
          <w:szCs w:val="32"/>
          <w:lang w:val="en-US" w:eastAsia="zh-CN" w:bidi="ar-SA"/>
        </w:rPr>
        <w:t>的问题，主动做好工作对接，通过定期跟班学习和业务培训，提高</w:t>
      </w:r>
      <w:r>
        <w:rPr>
          <w:rFonts w:hint="eastAsia" w:ascii="仿宋_GB2312" w:eastAsia="仿宋_GB2312" w:cs="Times New Roman"/>
          <w:kern w:val="2"/>
          <w:sz w:val="32"/>
          <w:szCs w:val="32"/>
          <w:lang w:val="en-US" w:eastAsia="zh-CN" w:bidi="ar-SA"/>
        </w:rPr>
        <w:t>监督</w:t>
      </w:r>
      <w:r>
        <w:rPr>
          <w:rFonts w:hint="eastAsia" w:ascii="仿宋_GB2312" w:hAnsi="Calibri" w:eastAsia="仿宋_GB2312" w:cs="Times New Roman"/>
          <w:kern w:val="2"/>
          <w:sz w:val="32"/>
          <w:szCs w:val="32"/>
          <w:lang w:val="en-US" w:eastAsia="zh-CN" w:bidi="ar-SA"/>
        </w:rPr>
        <w:t>人员的业务能力和办事水平。</w:t>
      </w:r>
      <w:r>
        <w:rPr>
          <w:rFonts w:hint="eastAsia" w:ascii="方正仿宋_GBK" w:hAnsi="方正仿宋_GBK" w:eastAsia="方正仿宋_GBK" w:cs="方正仿宋_GBK"/>
          <w:b/>
          <w:bCs/>
          <w:kern w:val="0"/>
          <w:sz w:val="32"/>
          <w:szCs w:val="32"/>
          <w:lang w:val="en-US" w:eastAsia="zh-CN" w:bidi="ar"/>
        </w:rPr>
        <w:t>三是围绕中心工作，主动服务重点项目建设。</w:t>
      </w:r>
      <w:r>
        <w:rPr>
          <w:rFonts w:hint="eastAsia" w:ascii="仿宋_GB2312" w:hAnsi="Calibri" w:eastAsia="仿宋_GB2312" w:cs="Times New Roman"/>
          <w:kern w:val="2"/>
          <w:sz w:val="32"/>
          <w:szCs w:val="32"/>
          <w:lang w:val="en-US" w:eastAsia="zh-CN" w:bidi="ar-SA"/>
        </w:rPr>
        <w:t>多次向市委市政府汇报</w:t>
      </w:r>
      <w:r>
        <w:rPr>
          <w:rFonts w:hint="eastAsia" w:ascii="仿宋_GB2312" w:eastAsia="仿宋_GB2312" w:cs="Times New Roman"/>
          <w:kern w:val="2"/>
          <w:sz w:val="32"/>
          <w:szCs w:val="32"/>
          <w:lang w:val="en-US" w:eastAsia="zh-CN" w:bidi="ar-SA"/>
        </w:rPr>
        <w:t>2301</w:t>
      </w:r>
      <w:r>
        <w:rPr>
          <w:rFonts w:hint="eastAsia" w:ascii="仿宋_GB2312" w:hAnsi="Calibri" w:eastAsia="仿宋_GB2312" w:cs="Times New Roman"/>
          <w:kern w:val="2"/>
          <w:sz w:val="32"/>
          <w:szCs w:val="32"/>
          <w:lang w:val="en-US" w:eastAsia="zh-CN" w:bidi="ar-SA"/>
        </w:rPr>
        <w:t>人防工程开发推进情况，得到市委市政府的肯定和支持。</w:t>
      </w:r>
      <w:r>
        <w:rPr>
          <w:rFonts w:hint="eastAsia" w:ascii="仿宋_GB2312" w:eastAsia="仿宋_GB2312" w:cs="Times New Roman"/>
          <w:kern w:val="2"/>
          <w:sz w:val="32"/>
          <w:szCs w:val="32"/>
          <w:lang w:val="en-US" w:eastAsia="zh-CN" w:bidi="ar-SA"/>
        </w:rPr>
        <w:t>石家庄二环路沿线控制性详细规划（修编）中明确南、北二环公园地下规划2处人防工程</w:t>
      </w:r>
      <w:r>
        <w:rPr>
          <w:rFonts w:hint="eastAsia" w:ascii="仿宋_GB2312" w:hAnsi="Calibri" w:eastAsia="仿宋_GB2312" w:cs="Times New Roman"/>
          <w:kern w:val="2"/>
          <w:sz w:val="32"/>
          <w:szCs w:val="32"/>
          <w:lang w:val="en-US" w:eastAsia="zh-CN" w:bidi="ar-SA"/>
        </w:rPr>
        <w:t>。</w:t>
      </w:r>
      <w:r>
        <w:rPr>
          <w:rFonts w:hint="eastAsia" w:ascii="仿宋_GB2312" w:eastAsia="仿宋_GB2312" w:cs="Times New Roman"/>
          <w:kern w:val="2"/>
          <w:sz w:val="32"/>
          <w:szCs w:val="32"/>
          <w:lang w:val="en-US" w:eastAsia="zh-CN" w:bidi="ar-SA"/>
        </w:rPr>
        <w:t>石家庄</w:t>
      </w:r>
      <w:r>
        <w:rPr>
          <w:rFonts w:hint="eastAsia" w:ascii="仿宋_GB2312" w:hAnsi="Calibri" w:eastAsia="仿宋_GB2312" w:cs="Times New Roman"/>
          <w:kern w:val="2"/>
          <w:sz w:val="32"/>
          <w:szCs w:val="32"/>
          <w:lang w:val="en-US" w:eastAsia="zh-CN" w:bidi="ar-SA"/>
        </w:rPr>
        <w:t>市域</w:t>
      </w:r>
      <w:r>
        <w:rPr>
          <w:rFonts w:hint="eastAsia" w:ascii="仿宋_GB2312" w:eastAsia="仿宋_GB2312" w:cs="Times New Roman"/>
          <w:color w:val="auto"/>
          <w:kern w:val="2"/>
          <w:sz w:val="32"/>
          <w:szCs w:val="32"/>
          <w:lang w:val="en-US" w:eastAsia="zh-CN" w:bidi="ar-SA"/>
        </w:rPr>
        <w:t>地铁148.78</w:t>
      </w:r>
      <w:r>
        <w:rPr>
          <w:rFonts w:hint="eastAsia" w:ascii="仿宋_GB2312" w:hAnsi="Calibri" w:eastAsia="仿宋_GB2312" w:cs="Times New Roman"/>
          <w:color w:val="auto"/>
          <w:kern w:val="2"/>
          <w:sz w:val="32"/>
          <w:szCs w:val="32"/>
          <w:lang w:val="en-US" w:eastAsia="zh-CN" w:bidi="ar-SA"/>
        </w:rPr>
        <w:t>万平方米全部按</w:t>
      </w:r>
      <w:r>
        <w:rPr>
          <w:rFonts w:hint="eastAsia" w:ascii="仿宋_GB2312" w:hAnsi="Calibri" w:eastAsia="仿宋_GB2312" w:cs="Times New Roman"/>
          <w:kern w:val="2"/>
          <w:sz w:val="32"/>
          <w:szCs w:val="32"/>
          <w:lang w:val="en-US" w:eastAsia="zh-CN" w:bidi="ar-SA"/>
        </w:rPr>
        <w:t>照人防工程有关标准建设，</w:t>
      </w:r>
      <w:r>
        <w:rPr>
          <w:rFonts w:hint="eastAsia" w:ascii="仿宋_GB2312" w:eastAsia="仿宋_GB2312" w:cs="Times New Roman"/>
          <w:kern w:val="2"/>
          <w:sz w:val="32"/>
          <w:szCs w:val="32"/>
          <w:lang w:val="en-US" w:eastAsia="zh-CN" w:bidi="ar-SA"/>
        </w:rPr>
        <w:t>石家庄成为</w:t>
      </w:r>
      <w:r>
        <w:rPr>
          <w:rFonts w:hint="eastAsia" w:ascii="仿宋_GB2312" w:hAnsi="Calibri" w:eastAsia="仿宋_GB2312" w:cs="Times New Roman"/>
          <w:kern w:val="2"/>
          <w:sz w:val="32"/>
          <w:szCs w:val="32"/>
          <w:lang w:val="en-US" w:eastAsia="zh-CN" w:bidi="ar-SA"/>
        </w:rPr>
        <w:t>全省第</w:t>
      </w:r>
      <w:r>
        <w:rPr>
          <w:rFonts w:hint="eastAsia" w:ascii="仿宋_GB2312" w:eastAsia="仿宋_GB2312" w:cs="Times New Roman"/>
          <w:kern w:val="2"/>
          <w:sz w:val="32"/>
          <w:szCs w:val="32"/>
          <w:lang w:val="en-US" w:eastAsia="zh-CN" w:bidi="ar-SA"/>
        </w:rPr>
        <w:t>一</w:t>
      </w:r>
      <w:r>
        <w:rPr>
          <w:rFonts w:hint="eastAsia" w:ascii="仿宋_GB2312" w:hAnsi="Calibri" w:eastAsia="仿宋_GB2312" w:cs="Times New Roman"/>
          <w:kern w:val="2"/>
          <w:sz w:val="32"/>
          <w:szCs w:val="32"/>
          <w:lang w:val="en-US" w:eastAsia="zh-CN" w:bidi="ar-SA"/>
        </w:rPr>
        <w:t>个拥有地下交通干线工程兼顾人民防空要求的城市。</w:t>
      </w:r>
    </w:p>
    <w:p>
      <w:pPr>
        <w:keepNext w:val="0"/>
        <w:keepLines w:val="0"/>
        <w:pageBreakBefore w:val="0"/>
        <w:kinsoku/>
        <w:wordWrap/>
        <w:overflowPunct/>
        <w:topLinePunct w:val="0"/>
        <w:autoSpaceDE/>
        <w:autoSpaceDN/>
        <w:bidi w:val="0"/>
        <w:adjustRightInd/>
        <w:snapToGrid/>
        <w:spacing w:line="540" w:lineRule="exact"/>
        <w:ind w:firstLine="632" w:firstLineChars="200"/>
        <w:jc w:val="left"/>
        <w:textAlignment w:val="auto"/>
        <w:rPr>
          <w:rFonts w:hint="default"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（三）提高法律法规进校园力度，增加国防动员宣传氛围</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right="0" w:rightChars="0" w:firstLine="632" w:firstLineChars="200"/>
        <w:jc w:val="left"/>
        <w:textAlignment w:val="auto"/>
        <w:outlineLvl w:val="9"/>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为提高学校师生国防动员法律法规、知识技能水平，深入推进全民国防动员教育工作，石家庄市国防动员办公室走进石家庄市第四十中学开展国防动员进校园活动。活动现场，通过摆放国防教育展板、宣讲国防动员法规政策、发放科普教材等方式，向广大师生宣传防灾减灾知识、国防动员法律法规等相关内容。随后，还向学生们讲授了国防动员相关知识技能等相关内容。现场共发放国防动员宣教资料2000余份，现场参与人数500余人。通过此次活动，使广大师生了解了国防动员知识，强化了国防动员意识，增强了关心国动、热爱国动的使命感和责任感，为创建平安、和谐的校园奠定了坚实基础。</w:t>
      </w:r>
    </w:p>
    <w:p>
      <w:pPr>
        <w:keepNext w:val="0"/>
        <w:keepLines w:val="0"/>
        <w:pageBreakBefore w:val="0"/>
        <w:widowControl w:val="0"/>
        <w:kinsoku/>
        <w:wordWrap/>
        <w:overflowPunct/>
        <w:topLinePunct w:val="0"/>
        <w:autoSpaceDE/>
        <w:autoSpaceDN/>
        <w:bidi w:val="0"/>
        <w:adjustRightInd/>
        <w:snapToGrid/>
        <w:spacing w:line="54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lang w:eastAsia="zh-CN"/>
        </w:rPr>
        <w:t>三</w:t>
      </w:r>
      <w:r>
        <w:rPr>
          <w:rFonts w:hint="eastAsia" w:ascii="黑体" w:hAnsi="黑体" w:eastAsia="黑体" w:cs="黑体"/>
          <w:sz w:val="32"/>
          <w:szCs w:val="32"/>
        </w:rPr>
        <w:t>、存在的主要问题和不足</w:t>
      </w:r>
    </w:p>
    <w:p>
      <w:pPr>
        <w:keepNext w:val="0"/>
        <w:keepLines w:val="0"/>
        <w:pageBreakBefore w:val="0"/>
        <w:widowControl w:val="0"/>
        <w:kinsoku/>
        <w:wordWrap/>
        <w:overflowPunct/>
        <w:topLinePunct w:val="0"/>
        <w:autoSpaceDE/>
        <w:autoSpaceDN/>
        <w:bidi w:val="0"/>
        <w:adjustRightInd/>
        <w:snapToGrid/>
        <w:spacing w:line="540" w:lineRule="exact"/>
        <w:ind w:firstLine="632"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全市国动办系统执法</w:t>
      </w:r>
      <w:r>
        <w:rPr>
          <w:rFonts w:hint="eastAsia" w:ascii="仿宋_GB2312" w:hAnsi="仿宋_GB2312" w:eastAsia="仿宋_GB2312" w:cs="仿宋_GB2312"/>
          <w:sz w:val="32"/>
          <w:szCs w:val="32"/>
        </w:rPr>
        <w:t>力量薄弱，执法工作发展不平衡，执法人员能力素质有待进一步提升。</w:t>
      </w:r>
    </w:p>
    <w:p>
      <w:pPr>
        <w:keepNext w:val="0"/>
        <w:keepLines w:val="0"/>
        <w:pageBreakBefore w:val="0"/>
        <w:widowControl w:val="0"/>
        <w:kinsoku/>
        <w:wordWrap/>
        <w:overflowPunct/>
        <w:topLinePunct w:val="0"/>
        <w:autoSpaceDE/>
        <w:autoSpaceDN/>
        <w:bidi w:val="0"/>
        <w:adjustRightInd/>
        <w:snapToGrid/>
        <w:spacing w:line="54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黑体" w:hAnsi="黑体" w:eastAsia="黑体" w:cs="黑体"/>
          <w:sz w:val="32"/>
          <w:szCs w:val="32"/>
          <w:lang w:eastAsia="zh-CN"/>
        </w:rPr>
        <w:t>四</w:t>
      </w:r>
      <w:r>
        <w:rPr>
          <w:rFonts w:hint="eastAsia" w:ascii="黑体" w:hAnsi="黑体" w:eastAsia="黑体" w:cs="黑体"/>
          <w:sz w:val="32"/>
          <w:szCs w:val="32"/>
        </w:rPr>
        <w:t>、</w:t>
      </w:r>
      <w:r>
        <w:rPr>
          <w:rFonts w:hint="eastAsia" w:ascii="黑体" w:hAnsi="黑体" w:eastAsia="黑体" w:cs="黑体"/>
          <w:sz w:val="32"/>
          <w:szCs w:val="32"/>
          <w:lang w:eastAsia="zh-CN"/>
        </w:rPr>
        <w:t>下步</w:t>
      </w:r>
      <w:r>
        <w:rPr>
          <w:rFonts w:hint="eastAsia" w:ascii="黑体" w:hAnsi="黑体" w:eastAsia="黑体" w:cs="黑体"/>
          <w:sz w:val="32"/>
          <w:szCs w:val="32"/>
        </w:rPr>
        <w:t>工作打算</w:t>
      </w:r>
    </w:p>
    <w:p>
      <w:pPr>
        <w:keepNext w:val="0"/>
        <w:keepLines w:val="0"/>
        <w:pageBreakBefore w:val="0"/>
        <w:widowControl w:val="0"/>
        <w:kinsoku/>
        <w:wordWrap/>
        <w:overflowPunct/>
        <w:topLinePunct w:val="0"/>
        <w:autoSpaceDE/>
        <w:autoSpaceDN/>
        <w:bidi w:val="0"/>
        <w:adjustRightInd/>
        <w:snapToGrid/>
        <w:spacing w:line="540" w:lineRule="exact"/>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仿宋_GB2312" w:hAnsi="仿宋_GB2312" w:eastAsia="仿宋_GB2312" w:cs="仿宋_GB2312"/>
          <w:sz w:val="32"/>
          <w:szCs w:val="32"/>
          <w:lang w:eastAsia="zh-CN"/>
        </w:rPr>
        <w:t>市国动办</w:t>
      </w:r>
      <w:r>
        <w:rPr>
          <w:rFonts w:hint="eastAsia" w:ascii="仿宋_GB2312" w:hAnsi="仿宋_GB2312" w:eastAsia="仿宋_GB2312" w:cs="仿宋_GB2312"/>
          <w:sz w:val="32"/>
          <w:szCs w:val="32"/>
        </w:rPr>
        <w:t>将继续坚决贯彻执行</w:t>
      </w:r>
      <w:r>
        <w:rPr>
          <w:rFonts w:hint="eastAsia" w:ascii="仿宋_GB2312" w:hAnsi="仿宋_GB2312" w:eastAsia="仿宋_GB2312" w:cs="仿宋_GB2312"/>
          <w:sz w:val="32"/>
          <w:szCs w:val="32"/>
          <w:lang w:eastAsia="zh-CN"/>
        </w:rPr>
        <w:t>全面依法治市</w:t>
      </w:r>
      <w:r>
        <w:rPr>
          <w:rFonts w:hint="eastAsia" w:ascii="仿宋_GB2312" w:hAnsi="仿宋_GB2312" w:eastAsia="仿宋_GB2312" w:cs="仿宋_GB2312"/>
          <w:sz w:val="32"/>
          <w:szCs w:val="32"/>
        </w:rPr>
        <w:t>的工作部署,按照建设法治政府的各项要求,全面落实好依法行政的各项工作，为我</w:t>
      </w:r>
      <w:r>
        <w:rPr>
          <w:rFonts w:hint="eastAsia" w:ascii="仿宋_GB2312" w:hAnsi="仿宋_GB2312" w:eastAsia="仿宋_GB2312" w:cs="仿宋_GB2312"/>
          <w:sz w:val="32"/>
          <w:szCs w:val="32"/>
          <w:lang w:eastAsia="zh-CN"/>
        </w:rPr>
        <w:t>市国防动员</w:t>
      </w:r>
      <w:r>
        <w:rPr>
          <w:rFonts w:hint="eastAsia" w:ascii="仿宋_GB2312" w:hAnsi="仿宋_GB2312" w:eastAsia="仿宋_GB2312" w:cs="仿宋_GB2312"/>
          <w:sz w:val="32"/>
          <w:szCs w:val="32"/>
        </w:rPr>
        <w:t>事业</w:t>
      </w:r>
      <w:r>
        <w:rPr>
          <w:rFonts w:hint="eastAsia" w:ascii="仿宋_GB2312" w:hAnsi="仿宋_GB2312" w:eastAsia="仿宋_GB2312" w:cs="仿宋_GB2312"/>
          <w:sz w:val="32"/>
          <w:szCs w:val="32"/>
          <w:lang w:eastAsia="zh-CN"/>
        </w:rPr>
        <w:t>高质量</w:t>
      </w:r>
      <w:r>
        <w:rPr>
          <w:rFonts w:hint="eastAsia" w:ascii="仿宋_GB2312" w:hAnsi="仿宋_GB2312" w:eastAsia="仿宋_GB2312" w:cs="仿宋_GB2312"/>
          <w:sz w:val="32"/>
          <w:szCs w:val="32"/>
        </w:rPr>
        <w:t>发展创造良好的法治环境。</w:t>
      </w:r>
    </w:p>
    <w:p>
      <w:pPr>
        <w:keepNext w:val="0"/>
        <w:keepLines w:val="0"/>
        <w:pageBreakBefore w:val="0"/>
        <w:widowControl w:val="0"/>
        <w:kinsoku/>
        <w:wordWrap/>
        <w:overflowPunct/>
        <w:topLinePunct w:val="0"/>
        <w:autoSpaceDE/>
        <w:autoSpaceDN/>
        <w:bidi w:val="0"/>
        <w:adjustRightInd/>
        <w:snapToGrid/>
        <w:spacing w:line="540" w:lineRule="exact"/>
        <w:ind w:firstLine="642"/>
        <w:jc w:val="left"/>
        <w:textAlignment w:val="auto"/>
        <w:rPr>
          <w:rFonts w:hint="eastAsia" w:ascii="仿宋_GB2312" w:hAnsi="仿宋_GB2312" w:eastAsia="仿宋_GB2312" w:cs="仿宋_GB2312"/>
          <w:sz w:val="32"/>
          <w:szCs w:val="32"/>
        </w:rPr>
      </w:pPr>
      <w:r>
        <w:rPr>
          <w:rFonts w:hint="eastAsia" w:ascii="楷体" w:hAnsi="楷体" w:eastAsia="楷体" w:cs="楷体"/>
          <w:sz w:val="32"/>
          <w:szCs w:val="32"/>
        </w:rPr>
        <w:t>（</w:t>
      </w:r>
      <w:r>
        <w:rPr>
          <w:rFonts w:hint="eastAsia" w:ascii="楷体" w:hAnsi="楷体" w:eastAsia="楷体" w:cs="楷体"/>
          <w:sz w:val="32"/>
          <w:szCs w:val="32"/>
          <w:lang w:eastAsia="zh-CN"/>
        </w:rPr>
        <w:t>一</w:t>
      </w:r>
      <w:r>
        <w:rPr>
          <w:rFonts w:hint="eastAsia" w:ascii="楷体" w:hAnsi="楷体" w:eastAsia="楷体" w:cs="楷体"/>
          <w:sz w:val="32"/>
          <w:szCs w:val="32"/>
        </w:rPr>
        <w:t>）切实加强</w:t>
      </w:r>
      <w:r>
        <w:rPr>
          <w:rFonts w:hint="eastAsia" w:ascii="楷体" w:hAnsi="楷体" w:eastAsia="楷体" w:cs="楷体"/>
          <w:sz w:val="32"/>
          <w:szCs w:val="32"/>
          <w:lang w:eastAsia="zh-CN"/>
        </w:rPr>
        <w:t>国防动员</w:t>
      </w:r>
      <w:r>
        <w:rPr>
          <w:rFonts w:hint="eastAsia" w:ascii="楷体" w:hAnsi="楷体" w:eastAsia="楷体" w:cs="楷体"/>
          <w:sz w:val="32"/>
          <w:szCs w:val="32"/>
        </w:rPr>
        <w:t>行政执法队伍建设</w:t>
      </w:r>
      <w:r>
        <w:rPr>
          <w:rFonts w:hint="eastAsia" w:ascii="仿宋_GB2312" w:hAnsi="仿宋_GB2312" w:eastAsia="仿宋_GB2312" w:cs="仿宋_GB2312"/>
          <w:sz w:val="32"/>
          <w:szCs w:val="32"/>
        </w:rPr>
        <w:t>。加强行政执法队伍职业道德教育和法律业务知识、能力培训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增强其依法行政、依法办事的能力。</w:t>
      </w:r>
    </w:p>
    <w:p>
      <w:pPr>
        <w:keepNext w:val="0"/>
        <w:keepLines w:val="0"/>
        <w:pageBreakBefore w:val="0"/>
        <w:widowControl w:val="0"/>
        <w:kinsoku/>
        <w:wordWrap/>
        <w:overflowPunct/>
        <w:topLinePunct w:val="0"/>
        <w:autoSpaceDE/>
        <w:autoSpaceDN/>
        <w:bidi w:val="0"/>
        <w:adjustRightInd/>
        <w:snapToGrid/>
        <w:spacing w:line="540" w:lineRule="exact"/>
        <w:ind w:firstLine="642"/>
        <w:jc w:val="left"/>
        <w:textAlignment w:val="auto"/>
        <w:rPr>
          <w:rFonts w:hint="eastAsia" w:ascii="仿宋_GB2312" w:hAnsi="宋体" w:eastAsia="仿宋_GB2312" w:cs="仿宋_GB2312"/>
          <w:sz w:val="32"/>
          <w:szCs w:val="32"/>
          <w:lang w:eastAsia="zh-CN"/>
        </w:rPr>
      </w:pPr>
      <w:r>
        <w:rPr>
          <w:rFonts w:hint="eastAsia" w:ascii="楷体" w:hAnsi="楷体" w:eastAsia="楷体" w:cs="楷体"/>
          <w:sz w:val="32"/>
          <w:szCs w:val="32"/>
        </w:rPr>
        <w:t>（</w:t>
      </w:r>
      <w:r>
        <w:rPr>
          <w:rFonts w:hint="eastAsia" w:ascii="楷体" w:hAnsi="楷体" w:eastAsia="楷体" w:cs="楷体"/>
          <w:sz w:val="32"/>
          <w:szCs w:val="32"/>
          <w:lang w:eastAsia="zh-CN"/>
        </w:rPr>
        <w:t>二</w:t>
      </w:r>
      <w:r>
        <w:rPr>
          <w:rFonts w:hint="eastAsia" w:ascii="楷体" w:hAnsi="楷体" w:eastAsia="楷体" w:cs="楷体"/>
          <w:sz w:val="32"/>
          <w:szCs w:val="32"/>
        </w:rPr>
        <w:t>）按规定开展“双随机</w:t>
      </w:r>
      <w:r>
        <w:rPr>
          <w:rFonts w:hint="eastAsia" w:ascii="楷体" w:hAnsi="楷体" w:eastAsia="楷体" w:cs="楷体"/>
          <w:sz w:val="32"/>
          <w:szCs w:val="32"/>
          <w:lang w:eastAsia="zh-CN"/>
        </w:rPr>
        <w:t>、</w:t>
      </w:r>
      <w:r>
        <w:rPr>
          <w:rFonts w:hint="eastAsia" w:ascii="楷体" w:hAnsi="楷体" w:eastAsia="楷体" w:cs="楷体"/>
          <w:sz w:val="32"/>
          <w:szCs w:val="32"/>
        </w:rPr>
        <w:t>一公开”抽查，加强事中事后监管，进一步提高执法能力和水平。</w:t>
      </w:r>
      <w:r>
        <w:rPr>
          <w:rFonts w:hint="eastAsia" w:ascii="仿宋_GB2312" w:hAnsi="宋体" w:eastAsia="仿宋_GB2312" w:cs="仿宋_GB2312"/>
          <w:sz w:val="32"/>
          <w:szCs w:val="32"/>
          <w:lang w:eastAsia="zh-CN"/>
        </w:rPr>
        <w:t>努力建立以信用监管为基础、以“双随机、一公开”监管为基本手段、以重点监管为补充的新型监管机制，探索建立健全信用承诺制度，切实提高监管水平和执法能力。</w:t>
      </w:r>
    </w:p>
    <w:p>
      <w:pPr>
        <w:pStyle w:val="11"/>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32" w:firstLineChars="200"/>
        <w:jc w:val="left"/>
        <w:textAlignment w:val="auto"/>
        <w:outlineLvl w:val="9"/>
        <w:rPr>
          <w:rFonts w:hint="eastAsia" w:ascii="仿宋" w:hAnsi="仿宋" w:eastAsia="仿宋" w:cs="仿宋"/>
          <w:sz w:val="32"/>
          <w:szCs w:val="32"/>
          <w:lang w:eastAsia="zh-CN"/>
        </w:rPr>
      </w:pPr>
      <w:r>
        <w:rPr>
          <w:rFonts w:hint="eastAsia" w:ascii="楷体" w:hAnsi="楷体" w:eastAsia="楷体" w:cs="楷体"/>
          <w:sz w:val="32"/>
          <w:szCs w:val="32"/>
          <w:lang w:val="en-US" w:eastAsia="zh-CN"/>
        </w:rPr>
        <w:t>（三）突出抓好普法任务落实。</w:t>
      </w:r>
      <w:r>
        <w:rPr>
          <w:rFonts w:hint="eastAsia" w:ascii="仿宋_GB2312" w:hAnsi="仿宋_GB2312" w:eastAsia="仿宋_GB2312" w:cs="仿宋_GB2312"/>
          <w:sz w:val="32"/>
          <w:szCs w:val="32"/>
          <w:lang w:val="en-US" w:eastAsia="zh-CN"/>
        </w:rPr>
        <w:t>以“八五”普法为契机，大力推进法治宣传“五进”活动。谋划国防动员主题学校等宣传教育阵地</w:t>
      </w:r>
      <w:r>
        <w:rPr>
          <w:rFonts w:hint="eastAsia" w:ascii="仿宋" w:hAnsi="仿宋" w:eastAsia="仿宋" w:cs="仿宋"/>
          <w:sz w:val="32"/>
          <w:szCs w:val="32"/>
          <w:lang w:eastAsia="zh-CN"/>
        </w:rPr>
        <w:t>，</w:t>
      </w:r>
      <w:r>
        <w:rPr>
          <w:rFonts w:hint="eastAsia" w:ascii="仿宋" w:hAnsi="仿宋" w:eastAsia="仿宋" w:cs="仿宋"/>
          <w:sz w:val="32"/>
          <w:szCs w:val="32"/>
        </w:rPr>
        <w:t>营造</w:t>
      </w:r>
      <w:r>
        <w:rPr>
          <w:rFonts w:hint="eastAsia" w:ascii="仿宋" w:hAnsi="仿宋" w:eastAsia="仿宋" w:cs="仿宋"/>
          <w:sz w:val="32"/>
          <w:szCs w:val="32"/>
          <w:lang w:eastAsia="zh-CN"/>
        </w:rPr>
        <w:t>全社会了解</w:t>
      </w:r>
      <w:r>
        <w:rPr>
          <w:rFonts w:hint="eastAsia" w:ascii="仿宋" w:hAnsi="仿宋" w:eastAsia="仿宋" w:cs="仿宋"/>
          <w:sz w:val="32"/>
          <w:szCs w:val="32"/>
        </w:rPr>
        <w:t>、</w:t>
      </w:r>
      <w:r>
        <w:rPr>
          <w:rFonts w:hint="eastAsia" w:ascii="仿宋" w:hAnsi="仿宋" w:eastAsia="仿宋" w:cs="仿宋"/>
          <w:sz w:val="32"/>
          <w:szCs w:val="32"/>
          <w:lang w:eastAsia="zh-CN"/>
        </w:rPr>
        <w:t>关心、</w:t>
      </w:r>
      <w:r>
        <w:rPr>
          <w:rFonts w:hint="eastAsia" w:ascii="仿宋" w:hAnsi="仿宋" w:eastAsia="仿宋" w:cs="仿宋"/>
          <w:sz w:val="32"/>
          <w:szCs w:val="32"/>
        </w:rPr>
        <w:t>支持人防的</w:t>
      </w:r>
      <w:r>
        <w:rPr>
          <w:rFonts w:hint="eastAsia" w:ascii="仿宋" w:hAnsi="仿宋" w:eastAsia="仿宋" w:cs="仿宋"/>
          <w:sz w:val="32"/>
          <w:szCs w:val="32"/>
          <w:lang w:eastAsia="zh-CN"/>
        </w:rPr>
        <w:t>浓厚</w:t>
      </w:r>
      <w:r>
        <w:rPr>
          <w:rFonts w:hint="eastAsia" w:ascii="仿宋" w:hAnsi="仿宋" w:eastAsia="仿宋" w:cs="仿宋"/>
          <w:sz w:val="32"/>
          <w:szCs w:val="32"/>
        </w:rPr>
        <w:t>氛围</w:t>
      </w:r>
      <w:r>
        <w:rPr>
          <w:rFonts w:hint="eastAsia" w:ascii="仿宋" w:hAnsi="仿宋" w:eastAsia="仿宋" w:cs="仿宋"/>
          <w:sz w:val="32"/>
          <w:szCs w:val="32"/>
          <w:lang w:eastAsia="zh-CN"/>
        </w:rPr>
        <w:t>。</w:t>
      </w:r>
    </w:p>
    <w:p>
      <w:pPr>
        <w:pStyle w:val="11"/>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32" w:firstLineChars="200"/>
        <w:jc w:val="left"/>
        <w:textAlignment w:val="auto"/>
        <w:outlineLvl w:val="9"/>
        <w:rPr>
          <w:rFonts w:hint="eastAsia" w:ascii="仿宋" w:hAnsi="仿宋" w:eastAsia="仿宋" w:cs="仿宋"/>
          <w:sz w:val="32"/>
          <w:szCs w:val="32"/>
          <w:lang w:eastAsia="zh-CN"/>
        </w:rPr>
      </w:pPr>
    </w:p>
    <w:p>
      <w:pPr>
        <w:pStyle w:val="11"/>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32" w:firstLineChars="200"/>
        <w:jc w:val="left"/>
        <w:textAlignment w:val="auto"/>
        <w:outlineLvl w:val="9"/>
        <w:rPr>
          <w:rFonts w:hint="eastAsia" w:ascii="仿宋" w:hAnsi="仿宋" w:eastAsia="仿宋" w:cs="仿宋"/>
          <w:sz w:val="32"/>
          <w:szCs w:val="32"/>
          <w:lang w:eastAsia="zh-CN"/>
        </w:rPr>
      </w:pPr>
    </w:p>
    <w:p>
      <w:pPr>
        <w:pStyle w:val="11"/>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5056" w:firstLineChars="1600"/>
        <w:jc w:val="left"/>
        <w:textAlignment w:val="auto"/>
        <w:outlineLvl w:val="9"/>
        <w:rPr>
          <w:rFonts w:hint="eastAsia" w:ascii="仿宋_GB2312" w:hAnsi="微软雅黑" w:eastAsia="仿宋_GB2312" w:cs="仿宋_GB2312"/>
          <w:b w:val="0"/>
          <w:i w:val="0"/>
          <w:caps w:val="0"/>
          <w:color w:val="000000"/>
          <w:spacing w:val="0"/>
          <w:kern w:val="0"/>
          <w:sz w:val="32"/>
          <w:szCs w:val="32"/>
          <w:shd w:val="clear" w:fill="FFFFFF"/>
          <w:lang w:val="en-US" w:eastAsia="zh-CN" w:bidi="ar"/>
        </w:rPr>
      </w:pPr>
    </w:p>
    <w:sectPr>
      <w:footerReference r:id="rId3" w:type="default"/>
      <w:pgSz w:w="11906" w:h="16838"/>
      <w:pgMar w:top="2098" w:right="1474" w:bottom="1984" w:left="1587" w:header="850" w:footer="992" w:gutter="0"/>
      <w:cols w:space="0" w:num="1"/>
      <w:rtlGutter w:val="0"/>
      <w:docGrid w:type="linesAndChars" w:linePitch="579" w:charSpace="-84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CESI仿宋-GB2312">
    <w:altName w:val="仿宋"/>
    <w:panose1 w:val="02000500000000000000"/>
    <w:charset w:val="86"/>
    <w:family w:val="auto"/>
    <w:pitch w:val="default"/>
    <w:sig w:usb0="00000000" w:usb1="00000000" w:usb2="00000010" w:usb3="00000000" w:csb0="0004000F" w:csb1="00000000"/>
  </w:font>
  <w:font w:name="CESI楷体-GB2312">
    <w:altName w:val="宋体"/>
    <w:panose1 w:val="02000500000000000000"/>
    <w:charset w:val="86"/>
    <w:family w:val="auto"/>
    <w:pitch w:val="default"/>
    <w:sig w:usb0="00000000" w:usb1="00000000" w:usb2="00000012" w:usb3="00000000" w:csb0="0004000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汉仪大黑简">
    <w:panose1 w:val="02010609000101010101"/>
    <w:charset w:val="86"/>
    <w:family w:val="auto"/>
    <w:pitch w:val="default"/>
    <w:sig w:usb0="00000001" w:usb1="080E0800" w:usb2="00000002" w:usb3="00000000" w:csb0="00040000" w:csb1="00000000"/>
  </w:font>
  <w:font w:name="CESI黑体-GB2312">
    <w:altName w:val="黑体"/>
    <w:panose1 w:val="02000500000000000000"/>
    <w:charset w:val="86"/>
    <w:family w:val="auto"/>
    <w:pitch w:val="default"/>
    <w:sig w:usb0="00000000" w:usb1="00000000" w:usb2="00000012" w:usb3="00000000" w:csb0="0004000F" w:csb1="00000000"/>
  </w:font>
  <w:font w:name="方正仿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NkMjJhZjg2MzEyYjE2NmU0OWE2ODk0M2JlNWY4MjkifQ=="/>
    <w:docVar w:name="KSO_WPS_MARK_KEY" w:val="17b484cc-a868-48cf-bf4e-cf83c34e4a8a"/>
  </w:docVars>
  <w:rsids>
    <w:rsidRoot w:val="704F6703"/>
    <w:rsid w:val="02BF778C"/>
    <w:rsid w:val="030450E5"/>
    <w:rsid w:val="0468505D"/>
    <w:rsid w:val="06EF564B"/>
    <w:rsid w:val="086767E1"/>
    <w:rsid w:val="0A685B58"/>
    <w:rsid w:val="0E680833"/>
    <w:rsid w:val="1189027A"/>
    <w:rsid w:val="121A1B87"/>
    <w:rsid w:val="1251399A"/>
    <w:rsid w:val="14862616"/>
    <w:rsid w:val="16704A27"/>
    <w:rsid w:val="17A625B2"/>
    <w:rsid w:val="17DB9A25"/>
    <w:rsid w:val="19A5164D"/>
    <w:rsid w:val="1A3F7D22"/>
    <w:rsid w:val="1AE1394F"/>
    <w:rsid w:val="1B3911B7"/>
    <w:rsid w:val="1D2834EE"/>
    <w:rsid w:val="1F5129A9"/>
    <w:rsid w:val="1F7055E4"/>
    <w:rsid w:val="1FE05541"/>
    <w:rsid w:val="20A81F0E"/>
    <w:rsid w:val="20D13436"/>
    <w:rsid w:val="21055434"/>
    <w:rsid w:val="22CA3F9B"/>
    <w:rsid w:val="24EB15DA"/>
    <w:rsid w:val="28F60A9A"/>
    <w:rsid w:val="2ADC038A"/>
    <w:rsid w:val="2CA84583"/>
    <w:rsid w:val="2E576599"/>
    <w:rsid w:val="2F379C80"/>
    <w:rsid w:val="2FF70870"/>
    <w:rsid w:val="30E46AA3"/>
    <w:rsid w:val="324A782D"/>
    <w:rsid w:val="329F7F47"/>
    <w:rsid w:val="33A90BD1"/>
    <w:rsid w:val="34E250A9"/>
    <w:rsid w:val="3A15686C"/>
    <w:rsid w:val="3A655A63"/>
    <w:rsid w:val="3B97711B"/>
    <w:rsid w:val="3BBD172A"/>
    <w:rsid w:val="3CBA5B95"/>
    <w:rsid w:val="3D7EFE2C"/>
    <w:rsid w:val="3E406464"/>
    <w:rsid w:val="3EDF5B77"/>
    <w:rsid w:val="3F9E7780"/>
    <w:rsid w:val="3FFE64FC"/>
    <w:rsid w:val="45D322CA"/>
    <w:rsid w:val="4733179A"/>
    <w:rsid w:val="48043B31"/>
    <w:rsid w:val="49B516D7"/>
    <w:rsid w:val="4B854F62"/>
    <w:rsid w:val="4CB67A86"/>
    <w:rsid w:val="50C25DD0"/>
    <w:rsid w:val="51930434"/>
    <w:rsid w:val="52515BF4"/>
    <w:rsid w:val="52636D61"/>
    <w:rsid w:val="53223B35"/>
    <w:rsid w:val="56E11149"/>
    <w:rsid w:val="574368BA"/>
    <w:rsid w:val="5A3F7F91"/>
    <w:rsid w:val="5A791289"/>
    <w:rsid w:val="5B30602C"/>
    <w:rsid w:val="5D85E7E6"/>
    <w:rsid w:val="5FA7374E"/>
    <w:rsid w:val="5FDB5B93"/>
    <w:rsid w:val="63BF4E37"/>
    <w:rsid w:val="655F538C"/>
    <w:rsid w:val="686C02D0"/>
    <w:rsid w:val="6AAE26B8"/>
    <w:rsid w:val="6AC55028"/>
    <w:rsid w:val="6B4CA1F2"/>
    <w:rsid w:val="6DDE5E8A"/>
    <w:rsid w:val="6DFA06BF"/>
    <w:rsid w:val="6E401D91"/>
    <w:rsid w:val="6EF7798C"/>
    <w:rsid w:val="6EFFE9F7"/>
    <w:rsid w:val="6F6F3899"/>
    <w:rsid w:val="6F7B7A2C"/>
    <w:rsid w:val="6F7B7C57"/>
    <w:rsid w:val="6FF5382C"/>
    <w:rsid w:val="704F6703"/>
    <w:rsid w:val="70D67C2B"/>
    <w:rsid w:val="71823160"/>
    <w:rsid w:val="724E4CC2"/>
    <w:rsid w:val="72915789"/>
    <w:rsid w:val="72CAC67C"/>
    <w:rsid w:val="72DDB71E"/>
    <w:rsid w:val="7487004F"/>
    <w:rsid w:val="74897030"/>
    <w:rsid w:val="74902ABF"/>
    <w:rsid w:val="74F75076"/>
    <w:rsid w:val="767FAE67"/>
    <w:rsid w:val="76E2256C"/>
    <w:rsid w:val="76FA364C"/>
    <w:rsid w:val="775D9C01"/>
    <w:rsid w:val="77A7457B"/>
    <w:rsid w:val="77AF6412"/>
    <w:rsid w:val="77FE8FA8"/>
    <w:rsid w:val="77FF3B31"/>
    <w:rsid w:val="79121E78"/>
    <w:rsid w:val="79824C06"/>
    <w:rsid w:val="79B7233C"/>
    <w:rsid w:val="79FF080D"/>
    <w:rsid w:val="7A0E3A6C"/>
    <w:rsid w:val="7AF5564E"/>
    <w:rsid w:val="7AF9FFDB"/>
    <w:rsid w:val="7B0A00F5"/>
    <w:rsid w:val="7B789C17"/>
    <w:rsid w:val="7BBF3916"/>
    <w:rsid w:val="7BC560A9"/>
    <w:rsid w:val="7BD340AA"/>
    <w:rsid w:val="7C354844"/>
    <w:rsid w:val="7C500CA0"/>
    <w:rsid w:val="7C7BA464"/>
    <w:rsid w:val="7CD116A6"/>
    <w:rsid w:val="7D7752F8"/>
    <w:rsid w:val="7D9901DE"/>
    <w:rsid w:val="7DF17211"/>
    <w:rsid w:val="7EF77BF8"/>
    <w:rsid w:val="7F2BBDDE"/>
    <w:rsid w:val="7F5FB4CE"/>
    <w:rsid w:val="7F9F5AC1"/>
    <w:rsid w:val="7FEBB487"/>
    <w:rsid w:val="7FFB39F3"/>
    <w:rsid w:val="7FFE2CE1"/>
    <w:rsid w:val="7FFFD22C"/>
    <w:rsid w:val="7FFFFB00"/>
    <w:rsid w:val="8FAE5E98"/>
    <w:rsid w:val="9D3D8A45"/>
    <w:rsid w:val="AB29EF8D"/>
    <w:rsid w:val="ADED9606"/>
    <w:rsid w:val="B33D3732"/>
    <w:rsid w:val="B4F32F7C"/>
    <w:rsid w:val="B73A88E8"/>
    <w:rsid w:val="B87EE19F"/>
    <w:rsid w:val="BBF7514D"/>
    <w:rsid w:val="BBFF68C3"/>
    <w:rsid w:val="BF8FC9CE"/>
    <w:rsid w:val="BFBE0317"/>
    <w:rsid w:val="BFBFDFA8"/>
    <w:rsid w:val="CE7E72DC"/>
    <w:rsid w:val="CF722E9D"/>
    <w:rsid w:val="CFFCD70F"/>
    <w:rsid w:val="CFFD7BA1"/>
    <w:rsid w:val="D7BE9578"/>
    <w:rsid w:val="D97C830C"/>
    <w:rsid w:val="DAFE4A4E"/>
    <w:rsid w:val="DBDF41FE"/>
    <w:rsid w:val="DCFF8099"/>
    <w:rsid w:val="DDBA5679"/>
    <w:rsid w:val="DDFE1DE7"/>
    <w:rsid w:val="DEBDCA79"/>
    <w:rsid w:val="DFE92AC0"/>
    <w:rsid w:val="DFF50251"/>
    <w:rsid w:val="DFFFB479"/>
    <w:rsid w:val="E6EB7F4F"/>
    <w:rsid w:val="EBEB65E1"/>
    <w:rsid w:val="EBEEB629"/>
    <w:rsid w:val="EDBF4AE5"/>
    <w:rsid w:val="EFD3F793"/>
    <w:rsid w:val="EFDBFD14"/>
    <w:rsid w:val="EFE60A38"/>
    <w:rsid w:val="EFEBE163"/>
    <w:rsid w:val="F4F77C51"/>
    <w:rsid w:val="F5EF0FEE"/>
    <w:rsid w:val="F7B979FE"/>
    <w:rsid w:val="F7BD0433"/>
    <w:rsid w:val="F7EE6F72"/>
    <w:rsid w:val="F8F689B8"/>
    <w:rsid w:val="FA3FE949"/>
    <w:rsid w:val="FAFED280"/>
    <w:rsid w:val="FB6D8D63"/>
    <w:rsid w:val="FBAB5565"/>
    <w:rsid w:val="FBFE02EA"/>
    <w:rsid w:val="FBFE7102"/>
    <w:rsid w:val="FCF42493"/>
    <w:rsid w:val="FD595A44"/>
    <w:rsid w:val="FD65E94D"/>
    <w:rsid w:val="FF1F7651"/>
    <w:rsid w:val="FF3DB8F4"/>
    <w:rsid w:val="FF5FD193"/>
    <w:rsid w:val="FF6F14C3"/>
    <w:rsid w:val="FF7F2346"/>
    <w:rsid w:val="FF7F58C4"/>
    <w:rsid w:val="FFDF41A0"/>
    <w:rsid w:val="FFF5B6E0"/>
    <w:rsid w:val="FFFD4705"/>
    <w:rsid w:val="FFFF4C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0"/>
    <w:pPr>
      <w:adjustRightInd w:val="0"/>
      <w:spacing w:line="360" w:lineRule="atLeast"/>
      <w:ind w:firstLine="420"/>
      <w:jc w:val="left"/>
      <w:textAlignment w:val="baseline"/>
    </w:pPr>
    <w:rPr>
      <w:kern w:val="0"/>
      <w:sz w:val="25"/>
      <w:szCs w:val="20"/>
    </w:rPr>
  </w:style>
  <w:style w:type="paragraph" w:styleId="3">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Emphasis"/>
    <w:basedOn w:val="8"/>
    <w:qFormat/>
    <w:uiPriority w:val="0"/>
    <w:rPr>
      <w:i/>
    </w:rPr>
  </w:style>
  <w:style w:type="paragraph" w:customStyle="1" w:styleId="10">
    <w:name w:val="toa heading1"/>
    <w:basedOn w:val="1"/>
    <w:next w:val="1"/>
    <w:qFormat/>
    <w:uiPriority w:val="0"/>
    <w:pPr>
      <w:widowControl/>
    </w:pPr>
    <w:rPr>
      <w:rFonts w:ascii="Arial" w:hAnsi="Arial" w:eastAsia="宋体" w:cs="Times New Roman"/>
      <w:kern w:val="0"/>
      <w:sz w:val="24"/>
      <w:szCs w:val="21"/>
    </w:rPr>
  </w:style>
  <w:style w:type="paragraph" w:customStyle="1" w:styleId="11">
    <w:name w:val="Char"/>
    <w:basedOn w:val="12"/>
    <w:qFormat/>
    <w:uiPriority w:val="0"/>
    <w:pPr>
      <w:spacing w:line="360" w:lineRule="auto"/>
      <w:ind w:firstLine="200" w:firstLineChars="200"/>
    </w:pPr>
    <w:rPr>
      <w:rFonts w:ascii="宋体" w:hAnsi="宋体" w:cs="宋体"/>
      <w:sz w:val="24"/>
    </w:rPr>
  </w:style>
  <w:style w:type="paragraph" w:customStyle="1" w:styleId="12">
    <w:name w:val="正文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5363</Words>
  <Characters>5466</Characters>
  <Lines>0</Lines>
  <Paragraphs>0</Paragraphs>
  <TotalTime>4</TotalTime>
  <ScaleCrop>false</ScaleCrop>
  <LinksUpToDate>false</LinksUpToDate>
  <CharactersWithSpaces>5473</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2020-05-04T01:36:00Z</dcterms:created>
  <dc:creator>北冥</dc:creator>
  <cp:lastModifiedBy>13323011735</cp:lastModifiedBy>
  <cp:lastPrinted>2023-11-20T19:31:00Z</cp:lastPrinted>
  <dcterms:modified xsi:type="dcterms:W3CDTF">2025-04-27T03:32:59Z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03346F3F7549763B46CE3167DC38E33E</vt:lpwstr>
  </property>
  <property fmtid="{D5CDD505-2E9C-101B-9397-08002B2CF9AE}" pid="4" name="KSOTemplateDocerSaveRecord">
    <vt:lpwstr>eyJoZGlkIjoiZTNhMzhmNjU3NDU2YjNiYWExNDJlM2Y4YTNjMzYyNWIiLCJ1c2VySWQiOiIxNTUwMjQwMDk2In0=</vt:lpwstr>
  </property>
</Properties>
</file>