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石家庄市会展业管理办法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（2008年1月22日石家庄市人民政府令第158号发布　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根据</w:t>
      </w:r>
      <w:r>
        <w:rPr>
          <w:rFonts w:hint="eastAsia" w:ascii="仿宋_GB2312" w:hAnsi="宋体" w:eastAsia="仿宋_GB2312" w:cs="宋体"/>
          <w:sz w:val="32"/>
          <w:szCs w:val="32"/>
        </w:rPr>
        <w:t>202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sz w:val="32"/>
          <w:szCs w:val="32"/>
        </w:rPr>
        <w:t>年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1</w:t>
      </w:r>
      <w:r>
        <w:rPr>
          <w:rFonts w:hint="eastAsia" w:ascii="仿宋_GB2312" w:hAnsi="宋体" w:eastAsia="仿宋_GB2312" w:cs="宋体"/>
          <w:sz w:val="32"/>
          <w:szCs w:val="32"/>
        </w:rPr>
        <w:t>月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1</w:t>
      </w:r>
      <w:r>
        <w:rPr>
          <w:rFonts w:hint="eastAsia" w:ascii="仿宋_GB2312" w:hAnsi="宋体" w:eastAsia="仿宋_GB2312" w:cs="宋体"/>
          <w:sz w:val="32"/>
          <w:szCs w:val="32"/>
        </w:rPr>
        <w:t>日石家庄市人民政府令第20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4</w:t>
      </w:r>
      <w:r>
        <w:rPr>
          <w:rFonts w:hint="eastAsia" w:ascii="仿宋_GB2312" w:hAnsi="宋体" w:eastAsia="仿宋_GB2312" w:cs="宋体"/>
          <w:sz w:val="32"/>
          <w:szCs w:val="32"/>
        </w:rPr>
        <w:t>号修正）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宋体" w:eastAsia="仿宋_GB2312" w:cs="宋体"/>
          <w:sz w:val="32"/>
          <w:szCs w:val="32"/>
          <w:lang w:val="en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第一条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为加强对会展活动的管理，规范会展市场行为，促进会展业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高质量</w:t>
      </w:r>
      <w:r>
        <w:rPr>
          <w:rFonts w:hint="eastAsia" w:ascii="仿宋_GB2312" w:hAnsi="宋体" w:eastAsia="仿宋_GB2312" w:cs="宋体"/>
          <w:sz w:val="32"/>
          <w:szCs w:val="32"/>
        </w:rPr>
        <w:t>发展，根据国家有关法律、法规，结合本市实际，制定本办法。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第二条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本市行政区域内有关会展活动及其管理适用本办法。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trike/>
          <w:dstrike w:val="0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第三条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本办法所称会展，是指举办单位（包括主办单位和承办单位）在固定场所和一定期限内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宋体"/>
          <w:sz w:val="32"/>
          <w:szCs w:val="32"/>
        </w:rPr>
        <w:t>通过物品、技术、服务以及形象的展览、展示，进行信息交流，促进经贸科技发展的商务活动。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本办法所称主办单位，是指负责制定会展的实施方案和计划，对会展活动进行统筹、组织和安排，并对会展活动承担主要责任的单位。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本办法所称承办单位，是指根据与主办单位的协议，负责布展、展品运输、安全保卫以及其他具体会展事项的单位。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第四条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市商务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主管</w:t>
      </w:r>
      <w:r>
        <w:rPr>
          <w:rFonts w:hint="eastAsia" w:ascii="仿宋_GB2312" w:hAnsi="宋体" w:eastAsia="仿宋_GB2312" w:cs="宋体"/>
          <w:sz w:val="32"/>
          <w:szCs w:val="32"/>
        </w:rPr>
        <w:t>部门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负责</w:t>
      </w:r>
      <w:r>
        <w:rPr>
          <w:rFonts w:hint="eastAsia" w:ascii="仿宋_GB2312" w:hAnsi="宋体" w:eastAsia="仿宋_GB2312" w:cs="宋体"/>
          <w:sz w:val="32"/>
          <w:szCs w:val="32"/>
        </w:rPr>
        <w:t>本行政区域内会展业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工作</w:t>
      </w: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  <w:t>，</w:t>
      </w:r>
      <w:r>
        <w:rPr>
          <w:rFonts w:hint="eastAsia" w:ascii="仿宋_GB2312" w:hAnsi="宋体" w:eastAsia="仿宋_GB2312" w:cs="宋体"/>
          <w:sz w:val="32"/>
          <w:szCs w:val="32"/>
        </w:rPr>
        <w:t>其主要职责：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（一）贯彻相关法律、法规和规章；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（二）制订和实施会展业发展规划；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（三）组织协调相关部门做好会展活动的保障服务；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（四）负责对会展场馆的业务指导；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</w:pP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  <w:t>（五）承办市政府组织的大型会展活动；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（六）会同财政部门管理与使用会展业发展专项扶持资金；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（七）负责会展活动的监督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和管理</w:t>
      </w:r>
      <w:r>
        <w:rPr>
          <w:rFonts w:hint="eastAsia" w:ascii="仿宋_GB2312" w:hAnsi="宋体" w:eastAsia="仿宋_GB2312" w:cs="宋体"/>
          <w:sz w:val="32"/>
          <w:szCs w:val="32"/>
        </w:rPr>
        <w:t>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（八）加强与国内外会展机构的交流合作；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（九）发布会展业信息；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</w:pP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  <w:t>（十）统计各类会展活动；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  <w:t>（十</w:t>
      </w: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  <w:lang w:eastAsia="zh-CN"/>
        </w:rPr>
        <w:t>一</w:t>
      </w: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  <w:t>）</w:t>
      </w:r>
      <w:r>
        <w:rPr>
          <w:rFonts w:hint="eastAsia" w:ascii="仿宋_GB2312" w:hAnsi="宋体" w:eastAsia="仿宋_GB2312" w:cs="宋体"/>
          <w:sz w:val="32"/>
          <w:szCs w:val="32"/>
        </w:rPr>
        <w:t>法律、法规和规章规定的其他职责。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trike w:val="0"/>
          <w:dstrike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第五条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  <w:u w:val="none"/>
        </w:rPr>
        <w:t>财政、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市场监督管理、城市管理综合行政执法</w:t>
      </w:r>
      <w:r>
        <w:rPr>
          <w:rFonts w:hint="eastAsia" w:ascii="仿宋_GB2312" w:hAnsi="宋体" w:eastAsia="仿宋_GB2312" w:cs="宋体"/>
          <w:sz w:val="32"/>
          <w:szCs w:val="32"/>
        </w:rPr>
        <w:t>、公安等行政管理部门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和消防救援机构</w:t>
      </w: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  <w:t>按照各自职责，做好会展活动的服务和管理。</w:t>
      </w: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第六条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市人民政府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将</w:t>
      </w:r>
      <w:r>
        <w:rPr>
          <w:rFonts w:hint="eastAsia" w:ascii="仿宋_GB2312" w:hAnsi="宋体" w:eastAsia="仿宋_GB2312" w:cs="宋体"/>
          <w:sz w:val="32"/>
          <w:szCs w:val="32"/>
        </w:rPr>
        <w:t>会展业发展规划纳入国民经济和社会发展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规</w:t>
      </w:r>
      <w:bookmarkStart w:id="0" w:name="_GoBack"/>
      <w:bookmarkEnd w:id="0"/>
      <w:r>
        <w:rPr>
          <w:rFonts w:hint="eastAsia" w:ascii="仿宋_GB2312" w:hAnsi="宋体" w:eastAsia="仿宋_GB2312" w:cs="宋体"/>
          <w:sz w:val="32"/>
          <w:szCs w:val="32"/>
        </w:rPr>
        <w:t>划，促进会展业规范有序发展。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第七条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会展业的发展遵循全面统筹、依托产业、服务产业、提升产业的原则，坚持政府引导和市场运作相结合。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第八条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承办单位举办会展活动应当具备下列条件：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（一）具有法人资格；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（二）能够独立承担民事责任；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（三）具有与承办会展活动相适应的资金；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（四）具有相应的管理机构、人员；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（五）建立相应的措施和制度；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（六）法律、法规规定的其他条件。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第九条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承办单位应当在举办会展活动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六十</w:t>
      </w:r>
      <w:r>
        <w:rPr>
          <w:rFonts w:hint="eastAsia" w:ascii="仿宋_GB2312" w:hAnsi="宋体" w:eastAsia="仿宋_GB2312" w:cs="宋体"/>
          <w:sz w:val="32"/>
          <w:szCs w:val="32"/>
        </w:rPr>
        <w:t>日前，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向举办地县（市、区）商务主管部门报告活动计划。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承办单位不得擅自变更会展名称、会展内容和会展时间或取消会展活动。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第十一条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承办单位不得发布虚假信息，不得虚构、夸大会展的规模和性质，不得盗用其他单位名义办展，不得骗取参展者参展费用。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第十二条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承办单位举办会展活动期间不得从事封建迷信、有伤社会风化的活动，不得从事与会展名称、内容不符的活动。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第十三条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场馆单位承担会展活动应具备相应的场地、设施和条件；设立安全机构，明确责任人员，建有安全防范措施，制定应急预案并组织实施。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会展活动属于大型群众性活动的，应当遵守《大型群众性活动安全管理条例》的相关规定。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第十四条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　市、县（市、区）人民政府应当完善会展活动知识产权保护机制。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承办单位应当加强对参展单位有关知识产权的保护，依法维护权利人合法权益。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第十五条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市商务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主管</w:t>
      </w:r>
      <w:r>
        <w:rPr>
          <w:rFonts w:hint="eastAsia" w:ascii="仿宋_GB2312" w:hAnsi="宋体" w:eastAsia="仿宋_GB2312" w:cs="宋体"/>
          <w:sz w:val="32"/>
          <w:szCs w:val="32"/>
        </w:rPr>
        <w:t>部门应当根据会展业发展规划和产业发展状况，适时发布会展项目指导目录，引导承办单位有序办展。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第十六条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市商务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主管</w:t>
      </w:r>
      <w:r>
        <w:rPr>
          <w:rFonts w:hint="eastAsia" w:ascii="仿宋_GB2312" w:hAnsi="宋体" w:eastAsia="仿宋_GB2312" w:cs="宋体"/>
          <w:sz w:val="32"/>
          <w:szCs w:val="32"/>
        </w:rPr>
        <w:t>部门应当建立会展业咨询服务制度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宋体"/>
          <w:sz w:val="32"/>
          <w:szCs w:val="32"/>
        </w:rPr>
        <w:t>为参展者提供咨询；统计会展活动数据，提供会展活动动态信息。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第十七条</w:t>
      </w:r>
      <w:r>
        <w:rPr>
          <w:rFonts w:hint="eastAsia" w:ascii="方正黑体_GBK" w:hAnsi="宋体" w:eastAsia="方正黑体_GBK" w:cs="宋体"/>
          <w:strike w:val="0"/>
          <w:dstrike w:val="0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承办单位应当在会展活动现场设置投诉处理点，并在醒目位置公布商务、市场监督管理、公安等有关部门的投诉举报电话。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第十八条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市商务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主管</w:t>
      </w:r>
      <w:r>
        <w:rPr>
          <w:rFonts w:hint="eastAsia" w:ascii="仿宋_GB2312" w:hAnsi="宋体" w:eastAsia="仿宋_GB2312" w:cs="宋体"/>
          <w:sz w:val="32"/>
          <w:szCs w:val="32"/>
        </w:rPr>
        <w:t>部门应当指导会展行业协会制定服务规范、开展行业自律、人才培训等工作。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第十九条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市商务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主管</w:t>
      </w:r>
      <w:r>
        <w:rPr>
          <w:rFonts w:hint="eastAsia" w:ascii="仿宋_GB2312" w:hAnsi="宋体" w:eastAsia="仿宋_GB2312" w:cs="宋体"/>
          <w:sz w:val="32"/>
          <w:szCs w:val="32"/>
        </w:rPr>
        <w:t>部门应当组织相关部门对会展活动实施监督</w:t>
      </w: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  <w:t>检查</w:t>
      </w:r>
      <w:r>
        <w:rPr>
          <w:rFonts w:hint="eastAsia" w:ascii="仿宋_GB2312" w:hAnsi="宋体" w:eastAsia="仿宋_GB2312" w:cs="宋体"/>
          <w:sz w:val="32"/>
          <w:szCs w:val="32"/>
        </w:rPr>
        <w:t>，维护会展活动秩序，保障</w:t>
      </w: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  <w:t>参展者</w:t>
      </w:r>
      <w:r>
        <w:rPr>
          <w:rFonts w:hint="eastAsia" w:ascii="仿宋_GB2312" w:hAnsi="宋体" w:eastAsia="仿宋_GB2312" w:cs="宋体"/>
          <w:sz w:val="32"/>
          <w:szCs w:val="32"/>
        </w:rPr>
        <w:t>的合法权利。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第二十条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会展业管理工作人员在管理活动中玩忽职守、徇私舞弊、滥用职权的，依法给予处分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；</w:t>
      </w:r>
      <w:r>
        <w:rPr>
          <w:rFonts w:hint="eastAsia" w:ascii="仿宋_GB2312" w:hAnsi="宋体" w:eastAsia="仿宋_GB2312" w:cs="宋体"/>
          <w:sz w:val="32"/>
          <w:szCs w:val="32"/>
        </w:rPr>
        <w:t>构成犯罪的，依法追究刑事责任。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trike w:val="0"/>
          <w:dstrike w:val="0"/>
          <w:sz w:val="32"/>
          <w:szCs w:val="32"/>
          <w:lang w:eastAsia="zh-CN"/>
        </w:rPr>
        <w:t>第二十一条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default" w:ascii="仿宋_GB2312" w:hAnsi="宋体" w:eastAsia="仿宋_GB2312" w:cs="宋体"/>
          <w:sz w:val="32"/>
          <w:szCs w:val="32"/>
          <w:lang w:val="en-US" w:eastAsia="zh-CN"/>
        </w:rPr>
        <w:t>违反本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办法</w:t>
      </w:r>
      <w:r>
        <w:rPr>
          <w:rFonts w:hint="default" w:ascii="仿宋_GB2312" w:hAnsi="宋体" w:eastAsia="仿宋_GB2312" w:cs="宋体"/>
          <w:sz w:val="32"/>
          <w:szCs w:val="32"/>
          <w:lang w:val="en-US" w:eastAsia="zh-CN"/>
        </w:rPr>
        <w:t>规定的行为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，</w:t>
      </w:r>
      <w:r>
        <w:rPr>
          <w:rFonts w:hint="default" w:ascii="仿宋_GB2312" w:hAnsi="宋体" w:eastAsia="仿宋_GB2312" w:cs="宋体"/>
          <w:sz w:val="32"/>
          <w:szCs w:val="32"/>
          <w:lang w:val="en-US" w:eastAsia="zh-CN"/>
        </w:rPr>
        <w:t>法律、法规已规定法律责任的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，</w:t>
      </w:r>
      <w:r>
        <w:rPr>
          <w:rFonts w:hint="default" w:ascii="仿宋_GB2312" w:hAnsi="宋体" w:eastAsia="仿宋_GB2312" w:cs="宋体"/>
          <w:sz w:val="32"/>
          <w:szCs w:val="32"/>
          <w:lang w:val="en-US" w:eastAsia="zh-CN"/>
        </w:rPr>
        <w:t>从其规定。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第二十二条</w:t>
      </w:r>
      <w:r>
        <w:rPr>
          <w:rFonts w:hint="eastAsia" w:ascii="方正黑体_GBK" w:hAnsi="宋体" w:eastAsia="方正黑体_GBK" w:cs="宋体"/>
          <w:sz w:val="32"/>
          <w:szCs w:val="32"/>
        </w:rPr>
        <w:t>　</w:t>
      </w:r>
      <w:r>
        <w:rPr>
          <w:rFonts w:hint="eastAsia" w:ascii="仿宋_GB2312" w:hAnsi="宋体" w:eastAsia="仿宋_GB2312" w:cs="宋体"/>
          <w:sz w:val="32"/>
          <w:szCs w:val="32"/>
        </w:rPr>
        <w:t>本办法自</w:t>
      </w:r>
      <w:r>
        <w:rPr>
          <w:rFonts w:hint="eastAsia" w:ascii="仿宋_GB2312" w:hAnsi="宋体" w:eastAsia="仿宋_GB2312" w:cs="宋体"/>
          <w:strike w:val="0"/>
          <w:dstrike w:val="0"/>
          <w:sz w:val="32"/>
          <w:szCs w:val="32"/>
        </w:rPr>
        <w:t>2008年3月1日</w:t>
      </w:r>
      <w:r>
        <w:rPr>
          <w:rFonts w:hint="eastAsia" w:ascii="仿宋_GB2312" w:hAnsi="宋体" w:eastAsia="仿宋_GB2312" w:cs="宋体"/>
          <w:sz w:val="32"/>
          <w:szCs w:val="32"/>
        </w:rPr>
        <w:t>起施行。</w:t>
      </w:r>
    </w:p>
    <w:p>
      <w:pPr>
        <w:pStyle w:val="5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国标宋体">
    <w:panose1 w:val="02000500000000000000"/>
    <w:charset w:val="86"/>
    <w:family w:val="auto"/>
    <w:pitch w:val="default"/>
    <w:sig w:usb0="00000001" w:usb1="28000000" w:usb2="00000000" w:usb3="00000000" w:csb0="000600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left="4788" w:leftChars="2280" w:firstLine="6400" w:firstLineChars="2000"/>
      <w:rPr>
        <w:rFonts w:hint="eastAsia" w:eastAsia="仿宋"/>
        <w:sz w:val="32"/>
        <w:szCs w:val="48"/>
        <w:lang w:val="en-US" w:eastAsia="zh-CN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BYAAABkcnMvUEsBAhQA&#10;FAAAAAgAh07iQLNJWO7QAAAABQEAAA8AAAAAAAAAAQAgAAAAOAAAAGRycy9kb3ducmV2LnhtbFBL&#10;AQIUABQAAAAIAIdO4kBWFWiqIQIAADcEAAAOAAAAAAAAAAEAIAAAAD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eastAsia="仿宋"/>
        <w:sz w:val="32"/>
        <w:szCs w:val="48"/>
        <w:lang w:val="en-US" w:eastAsia="zh-CN"/>
      </w:rPr>
      <w:t xml:space="preserve">  </w:t>
    </w:r>
  </w:p>
  <w:p>
    <w:pPr>
      <w:pStyle w:val="7"/>
      <w:wordWrap w:val="0"/>
      <w:ind w:left="4788" w:leftChars="2280" w:firstLine="6400" w:firstLineChars="2000"/>
      <w:jc w:val="right"/>
      <w:rPr>
        <w:rFonts w:hint="eastAsia" w:ascii="宋体" w:hAnsi="宋体" w:eastAsia="宋体" w:cs="宋体"/>
        <w:b/>
        <w:bCs/>
        <w:color w:val="005192"/>
        <w:sz w:val="28"/>
        <w:szCs w:val="44"/>
        <w:lang w:val="en-US" w:eastAsia="zh-CN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74295</wp:posOffset>
              </wp:positionV>
              <wp:extent cx="5616575" cy="1905"/>
              <wp:effectExtent l="0" t="10795" r="3175" b="15875"/>
              <wp:wrapNone/>
              <wp:docPr id="5" name="直接连接符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16575" cy="1905"/>
                      </a:xfrm>
                      <a:prstGeom prst="line">
                        <a:avLst/>
                      </a:prstGeom>
                      <a:noFill/>
                      <a:ln w="22225" cap="flat" cmpd="sng" algn="ctr">
                        <a:solidFill>
                          <a:srgbClr val="005192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0pt;margin-top:5.85pt;height:0.15pt;width:442.25pt;z-index:251660288;mso-width-relative:page;mso-height-relative:page;" filled="f" stroked="t" coordsize="21600,21600" o:gfxdata="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Dzp6XR1AAA&#10;AAYBAAAPAAAAAAAAAAEAIAAAADgAAABkcnMvZG93bnJldi54bWxQSwECFAAUAAAACACHTuJAQhCS&#10;aNMBAAB1AwAADgAAAAAAAAABACAAAAA5AQAAZHJzL2Uyb0RvYy54bWxQSwUGAAAAAAYABgBZAQAA&#10;fgUAAAAA&#10;">
              <v:fill on="f" focussize="0,0"/>
              <v:stroke weight="1.75pt" color="#005192" miterlimit="8" joinstyle="miter"/>
              <v:imagedata o:title=""/>
              <o:lock v:ext="edit" aspectratio="f"/>
            </v:line>
          </w:pict>
        </mc:Fallback>
      </mc:AlternateContent>
    </w:r>
    <w:r>
      <w:rPr>
        <w:rFonts w:hint="eastAsia" w:eastAsia="仿宋"/>
        <w:sz w:val="32"/>
        <w:szCs w:val="48"/>
        <w:lang w:val="en-US" w:eastAsia="zh-CN"/>
      </w:rPr>
      <w:t>X</w:t>
    </w:r>
    <w:r>
      <w:rPr>
        <w:rFonts w:hint="eastAsia" w:ascii="宋体" w:hAnsi="宋体" w:cs="宋体"/>
        <w:b/>
        <w:bCs/>
        <w:color w:val="005192"/>
        <w:sz w:val="28"/>
        <w:szCs w:val="44"/>
        <w:lang w:val="en-US" w:eastAsia="zh-CN"/>
      </w:rPr>
      <w:t>石家庄市</w:t>
    </w:r>
    <w:r>
      <w:rPr>
        <w:rFonts w:hint="eastAsia" w:ascii="宋体" w:hAnsi="宋体" w:eastAsia="宋体" w:cs="宋体"/>
        <w:b/>
        <w:bCs/>
        <w:color w:val="005192"/>
        <w:sz w:val="28"/>
        <w:szCs w:val="44"/>
        <w:lang w:val="en-US" w:eastAsia="zh-CN"/>
      </w:rPr>
      <w:t xml:space="preserve">人民政府发布     </w:t>
    </w:r>
  </w:p>
  <w:p>
    <w:pPr>
      <w:pStyle w:val="7"/>
      <w:wordWrap w:val="0"/>
      <w:ind w:left="4788" w:leftChars="2280" w:firstLine="5621" w:firstLineChars="2000"/>
      <w:jc w:val="right"/>
      <w:rPr>
        <w:rFonts w:hint="eastAsia" w:ascii="宋体" w:hAnsi="宋体" w:eastAsia="宋体" w:cs="宋体"/>
        <w:b/>
        <w:bCs/>
        <w:color w:val="005192"/>
        <w:sz w:val="28"/>
        <w:szCs w:val="44"/>
        <w:lang w:val="en-US" w:eastAsia="zh-C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textAlignment w:val="center"/>
      <w:rPr>
        <w:rFonts w:hint="eastAsia" w:ascii="宋体" w:hAnsi="宋体" w:eastAsia="宋体" w:cs="宋体"/>
        <w:b/>
        <w:bCs/>
        <w:color w:val="005192"/>
        <w:sz w:val="32"/>
      </w:rPr>
    </w:pPr>
    <w:r>
      <w:rPr>
        <w:rFonts w:hint="eastAsia" w:ascii="宋体" w:hAnsi="宋体" w:eastAsia="宋体" w:cs="宋体"/>
        <w:b/>
        <w:bCs/>
        <w:color w:val="005192"/>
        <w:sz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-3810</wp:posOffset>
              </wp:positionH>
              <wp:positionV relativeFrom="paragraph">
                <wp:posOffset>690245</wp:posOffset>
              </wp:positionV>
              <wp:extent cx="5620385" cy="0"/>
              <wp:effectExtent l="0" t="10795" r="18415" b="17780"/>
              <wp:wrapNone/>
              <wp:docPr id="4" name="直接连接符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4133850" y="864870"/>
                        <a:ext cx="5620385" cy="0"/>
                      </a:xfrm>
                      <a:prstGeom prst="line">
                        <a:avLst/>
                      </a:prstGeom>
                      <a:noFill/>
                      <a:ln w="22225" cap="flat" cmpd="sng" algn="ctr">
                        <a:solidFill>
                          <a:srgbClr val="005192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-0.3pt;margin-top:54.35pt;height:0pt;width:442.55pt;z-index:251659264;mso-width-relative:page;mso-height-relative:page;" filled="f" stroked="t" coordsize="21600,21600" o:gfxdata="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FgAAAGRycy9QSwECFAAUAAAACACH&#10;TuJA1EdA1tUAAAAJAQAADwAAAAAAAAABACAAAAA4AAAAZHJzL2Rvd25yZXYueG1sUEsBAhQAFAAA&#10;AAgAh07iQNqbbOfcAQAAfQMAAA4AAAAAAAAAAQAgAAAAOgEAAGRycy9lMm9Eb2MueG1sUEsFBgAA&#10;AAAGAAYAWQEAAIgFAAAAAA==&#10;">
              <v:fill on="f" focussize="0,0"/>
              <v:stroke weight="1.75pt" color="#005192" miterlimit="8" joinstyle="miter"/>
              <v:imagedata o:title=""/>
              <o:lock v:ext="edit" aspectratio="f"/>
            </v:line>
          </w:pict>
        </mc:Fallback>
      </mc:AlternateContent>
    </w:r>
  </w:p>
  <w:p>
    <w:pPr>
      <w:pStyle w:val="7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textAlignment w:val="center"/>
      <w:rPr>
        <w:rFonts w:hint="eastAsia" w:ascii="宋体" w:hAnsi="宋体" w:eastAsia="宋体" w:cs="宋体"/>
        <w:b/>
        <w:bCs/>
        <w:color w:val="005192"/>
        <w:sz w:val="32"/>
        <w:szCs w:val="32"/>
        <w:lang w:val="en-US" w:eastAsia="zh-CN"/>
      </w:rPr>
    </w:pPr>
    <w:r>
      <w:rPr>
        <w:rFonts w:hint="eastAsia" w:ascii="宋体" w:hAnsi="宋体" w:eastAsia="宋体" w:cs="宋体"/>
        <w:b/>
        <w:bCs/>
        <w:color w:val="005192"/>
        <w:sz w:val="32"/>
      </w:rPr>
      <w:drawing>
        <wp:inline distT="0" distB="0" distL="114300" distR="114300">
          <wp:extent cx="308610" cy="308610"/>
          <wp:effectExtent l="0" t="0" r="15240" b="15240"/>
          <wp:docPr id="1" name="图片 1" descr="国徽1024"/>
          <wp:cNvGraphicFramePr>
            <a:graphicFrameLocks xmlns:a="http://schemas.openxmlformats.org/drawingml/2006/main" noChangeAspect="true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国徽1024"/>
                  <pic:cNvPicPr>
                    <a:picLocks noChangeAspect="true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8610" cy="3086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 w:ascii="方正小标宋简体" w:hAnsi="方正小标宋简体" w:eastAsia="方正小标宋简体" w:cs="方正小标宋简体"/>
        <w:b w:val="0"/>
        <w:bCs w:val="0"/>
        <w:color w:val="005192"/>
        <w:sz w:val="32"/>
        <w:lang w:eastAsia="zh-CN"/>
      </w:rPr>
      <w:t>石家庄市</w:t>
    </w:r>
    <w:r>
      <w:rPr>
        <w:rFonts w:hint="eastAsia" w:ascii="方正小标宋简体" w:hAnsi="方正小标宋简体" w:eastAsia="方正小标宋简体" w:cs="方正小标宋简体"/>
        <w:b w:val="0"/>
        <w:bCs w:val="0"/>
        <w:color w:val="005192"/>
        <w:sz w:val="32"/>
        <w:szCs w:val="32"/>
        <w:lang w:val="en-US" w:eastAsia="zh-CN"/>
      </w:rPr>
      <w:t>人民政府规章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EFEF98"/>
    <w:rsid w:val="012961BA"/>
    <w:rsid w:val="0E9E654C"/>
    <w:rsid w:val="2E7F9BC7"/>
    <w:rsid w:val="3A1B70ED"/>
    <w:rsid w:val="3C5F05A1"/>
    <w:rsid w:val="3FFF9BD2"/>
    <w:rsid w:val="4DE95C6B"/>
    <w:rsid w:val="5EFF6884"/>
    <w:rsid w:val="5FDD93A4"/>
    <w:rsid w:val="62FBCD69"/>
    <w:rsid w:val="6CCF6D46"/>
    <w:rsid w:val="6CFF27E5"/>
    <w:rsid w:val="737D26D3"/>
    <w:rsid w:val="777EC5B7"/>
    <w:rsid w:val="7DDBD8D3"/>
    <w:rsid w:val="7F7F1262"/>
    <w:rsid w:val="7FEA35DD"/>
    <w:rsid w:val="9F2714E7"/>
    <w:rsid w:val="B5FFDB43"/>
    <w:rsid w:val="B7AD2329"/>
    <w:rsid w:val="BF07C205"/>
    <w:rsid w:val="CBBE5A36"/>
    <w:rsid w:val="DBDFCEA0"/>
    <w:rsid w:val="DEDBB6D6"/>
    <w:rsid w:val="EFEBD49A"/>
    <w:rsid w:val="EFEFEF98"/>
    <w:rsid w:val="F6F5D68E"/>
    <w:rsid w:val="F7794147"/>
    <w:rsid w:val="F7F7A6DE"/>
    <w:rsid w:val="F7FFEC36"/>
    <w:rsid w:val="FEFE2146"/>
    <w:rsid w:val="FFDBE44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jc w:val="center"/>
      <w:outlineLvl w:val="1"/>
    </w:pPr>
    <w:rPr>
      <w:rFonts w:ascii="Arial" w:hAnsi="Arial" w:eastAsia="黑体" w:cs="Times New Roman"/>
      <w:sz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1"/>
    <w:semiHidden/>
    <w:qFormat/>
    <w:uiPriority w:val="0"/>
    <w:pPr>
      <w:autoSpaceDE w:val="0"/>
      <w:autoSpaceDN w:val="0"/>
      <w:adjustRightInd w:val="0"/>
      <w:jc w:val="left"/>
    </w:pPr>
    <w:rPr>
      <w:rFonts w:ascii="方正仿宋_GBK" w:hAnsi="方正仿宋_GBK" w:cs="宋体"/>
      <w:color w:val="000000"/>
      <w:kern w:val="0"/>
      <w:sz w:val="24"/>
      <w:szCs w:val="24"/>
    </w:rPr>
  </w:style>
  <w:style w:type="paragraph" w:styleId="4">
    <w:name w:val="index 5"/>
    <w:basedOn w:val="1"/>
    <w:next w:val="1"/>
    <w:qFormat/>
    <w:uiPriority w:val="0"/>
    <w:pPr>
      <w:ind w:left="1680"/>
    </w:pPr>
  </w:style>
  <w:style w:type="paragraph" w:styleId="5">
    <w:name w:val="Plain Text"/>
    <w:basedOn w:val="1"/>
    <w:qFormat/>
    <w:uiPriority w:val="0"/>
    <w:rPr>
      <w:rFonts w:ascii="宋体" w:hAnsi="Courier New" w:eastAsia="宋体" w:cs="Courier New"/>
      <w:szCs w:val="21"/>
    </w:rPr>
  </w:style>
  <w:style w:type="paragraph" w:styleId="6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6212</Words>
  <Characters>6247</Characters>
  <Lines>0</Lines>
  <Paragraphs>0</Paragraphs>
  <TotalTime>3</TotalTime>
  <ScaleCrop>false</ScaleCrop>
  <LinksUpToDate>false</LinksUpToDate>
  <CharactersWithSpaces>6312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2024-11-25T16:10:00Z</dcterms:created>
  <dc:creator>uos</dc:creator>
  <cp:lastModifiedBy>uos</cp:lastModifiedBy>
  <cp:lastPrinted>2025-01-09T06:36:00Z</cp:lastPrinted>
  <dcterms:modified xsi:type="dcterms:W3CDTF">2025-01-10T15:03:07Z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  <property fmtid="{D5CDD505-2E9C-101B-9397-08002B2CF9AE}" pid="3" name="ICV">
    <vt:lpwstr>A55871955DCD04D3CF7D7B67BA55E612_43</vt:lpwstr>
  </property>
</Properties>
</file>